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6.1.1.7. pasākumu "Eiropas Savienības nozīmes biotopu vai purvu ekosistēmu atjaunošana"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Eiropas Savienības nozīmes biotopu atjaunošanu vai vēsturisko kūdras ieguves vietu renaturalizāciju īpaši aizsargājamās dabas teritorijās bioloģiskās daudzveidības veicināšanai un ekosistēmu pakalpojumu nodrošināšanai.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mērķteritorijas un īstenošanas vietas ir īpaši aizsargājamas dabas teritorijas vai to daļas un tām piegulošās teritorijas, kas atrodas Kurzemes, Latgales, Vidzemes un Zemgales statistiskajā reģionā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par vēsturiskām kūdras ieguves vietām tiek uzskatītas Kūdras ilgtspējīgas izmantošanas pamatnostādņu 2020.–2030. gadam 3. pielikumā minētās teritorijas un tām piegulošas ietekmētas teritorijas, kurām nav iespējams piemērot principu "piesārņotājs maksā".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līdz 2029. gada 31. decembrim, sasniedzot šādus uzraudzības rādītājus: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atbalstītā sanētās zemes platība. Iznākuma rādītāja vērtība tiek sasniegta, ja veikti ieguldījumi Eiropas Savienības nozīmes biotopu atjaunošanā vai vēsturisko kūdras ieguves vietu renaturalizācijā 1500 hektāru platībā projekta tiešajās īstenošanas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atjaunotas degradētas ekosistēmas. Rezultāta rādītāja vērtība tiek sasniegta, ja pasākuma ietvaros veikti ieguldījumi Eiropas Savienības nozīmes biotopu atjaunošanā vai vēsturisko kūdras ieguves vietu renaturalizācijā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minētajā platībā, kopumā labvēlīgi ietekmējot teritoriju  vismaz 4046 hektāru platībā.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īstenošanai plānotais un pieejamais kopējais attiecināmais finansējums ir vismaz 7 058 824 </w:t>
      </w:r>
      <w:r w:rsidR="00000000" w:rsidRPr="00000000" w:rsidDel="00000000">
        <w:rPr>
          <w:i w:val="1"/>
          <w:rtl w:val="0"/>
        </w:rPr>
        <w:t xml:space="preserve">euro</w:t>
      </w:r>
      <w:r w:rsidR="00000000" w:rsidRPr="00000000" w:rsidDel="00000000">
        <w:rPr>
          <w:rtl w:val="0"/>
        </w:rPr>
        <w:t xml:space="preserve">, tai skaitā Taisnīgas pārkārtošanās fonda finansējums 6 000 000 </w:t>
      </w:r>
      <w:r w:rsidR="00000000" w:rsidRPr="00000000" w:rsidDel="00000000">
        <w:rPr>
          <w:i w:val="1"/>
          <w:rtl w:val="0"/>
        </w:rPr>
        <w:t xml:space="preserve">euro </w:t>
      </w:r>
      <w:r w:rsidR="00000000" w:rsidRPr="00000000" w:rsidDel="00000000">
        <w:rPr>
          <w:rtl w:val="0"/>
        </w:rPr>
        <w:t xml:space="preserve">apmērā un nacionālais līdzfinansējums, ko veido valsts budžeta līdzfinansējums 1 058 824 </w:t>
      </w:r>
      <w:r w:rsidR="00000000" w:rsidRPr="00000000" w:rsidDel="00000000">
        <w:rPr>
          <w:i w:val="1"/>
          <w:rtl w:val="0"/>
        </w:rPr>
        <w:t xml:space="preserve">euro </w:t>
      </w:r>
      <w:r w:rsidR="00000000" w:rsidRPr="00000000" w:rsidDel="00000000">
        <w:rPr>
          <w:rtl w:val="0"/>
        </w:rPr>
        <w:t xml:space="preserve">apmērā un privātais finansējums. Privātais finansējums tiek paredzēts, ja pasākuma īstenošanai nepieciešamais finansējums pārsniedz maksimāli iespējamo Taisnīgas pārkārtošanās fonda un valsts budžeta līdzfinansējuma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Attiecināmais Taisnīgas pārkārtošanās fonda finansējuma apmērs nepārsniedz 85 procentus no projekta kopējā attiecināmā finansējuma, un valsts budžeta līdzfinansējums nepārsniedz 15 procentus no projekta kopējā attiecināmā finansējuma. Ja projektā tiek piesaistīts privātais finansējums, nacionālais līdzfinansējums var pārsniegt 15 procentus, nepalielinot valsts budžeta līdzfinansējuma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ir akciju sabiedrība "Latvijas valsts meži".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projekta atbalstāmo darbību īstenošanai sadarbības partnera statusā piesaista Dabas aizsardzības pārvaldi.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kopā ar sadarbības partneri plāno projektā sasniedzamos uzraudzības rādītājus un Taisnīgas pārkārtošanās fonda finansējumu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rādītājiem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pirms projekta iesniegšanas ar sadarbības partneri slēdz rakstveida sadarbības līgumu par pušu pienākumiem, tiesībām un atbildību projekta mērķa, rezultātu un rādītāju sasniegšanā un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minēto prasību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un sadarbības partneris: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turējumā vai lietojumā esošo nekustamo īpašumu vai finansējumu, kā arī nodrošina projekta ietvaros izveidotās infrastruktūras un atjaunoto teritoriju uzturēšanu visā projekta dzīves ciklā.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netiek atbalstītas aktivitātes, kurām sniegtais atbalsts kvalificējams kā komercdarbības atbalsts. Pasākuma ietvaros atbalsts tiek sniegts tikai valsts pārvaldes funkciju īstenošanai un pārvaldes uzdevumu izpildei.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Ja projektā plānoti ieņēmumi, tie projekta dzīves ciklā ik gadu nepārsniedz 50 procentus no infrastruktūras un atjaunoto teritoriju uzturēšanas izdevumiem.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 purvu un ar tiem saistīto ekosistēmu stāvokļa uzlabošanai un aizsardzībai: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biotehniskie (visu veidu pasākumi vietas stāvokļa uzlabošanai, piemēram, nevēlamu koku,  krūmu vai zemsedzes apauguma likvidēšana, invazīvo sugu ierobežošana, biotopam raksturīgās zemsedzes veģetācijas un struktūru atjaunošana, sugu dzīvotņu uzlabošana, atjaunošana vai veidošana), hidrotehniskie un melioratīvie pasākumi (t. sk. būvniecība inženierbūvju un meliorācijas grāvju likvidēšanai, izveidei vai atjaunošanai u. tml.);</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ekotūrisma infrastruktūras izveide un teritoriju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un informācijas piekļūstamības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atjaunojamo teritoriju apsekošana un izpēte;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informēšanas, izglītošanas, komunikācijas  un vizuālās identitātes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 Pasākuma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sugu un biotopu aizsardzības jomas eksperta un (vai) arborista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ieceres dokumentācijas, būvprojekta sagatavošanas un ar to saistītās normatīvajos aktos paredzētās būvekspertīzes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un ieguvumu analīzes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ekosistēmu pakalpojuma novērtējuma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uz vidi novērtējuma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risku izvērtējuma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hidroloģiskā vai hidroģeoloģiskā modeļa un hidroloģisko vai hidraulisko aprēķinu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nojaukšanas un teritorijas attīrīšanas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atjaunojamo teritoriju apsekošanas un esošās infrastruktūras stāvokļa diagnostikas un tehniskā stāvokļa pārbaudes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infrastruktūras būvdarbu, esošās infrastruktūras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biotehnisku, hidrotehnisku un melioratīvo pasākumu (t. sk. būvdarbu)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apmeklētāju skaitīšanas ierīču, informācijas stendu, norāžu un zīmju iegādes, izgatavošanas, transportēšanas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20 procentu apmērā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 un piemērojot to vienādi gan finansējuma saņēmējam, gan sadarbības partnerim;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un sadarbības partnera personāla darba braucienu,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vietas aprīkojuma iegādes izmaksas jaunu darba vietu radīšanai vai, ja aprīkojums ir nolietojies un tiek norakstīts, esošo darba vietu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jaunradītās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jaunradītās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izmantots daļlaika izmaksu attiecināmības princips, tiek ņemts vērā darbinieka iesaistes periods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saskaņā ar normatīvo aktu par kārtību, kādā Eiropas Savienības fondu vadībā iesaistītās institūcijas nodrošina šo fondu ieviešanu 2021.–2027. gada plānošanas periodā,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konsultācijas, ja tās ir nepieciešamas vides un informācijas piekļūstamības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informēšanas un izglītošanas pasākumu izmaksas, kas nav šo noteikumu </w:t>
      </w:r>
      <w:r w:rsidR="00000000" w:rsidRPr="00000000" w:rsidDel="00000000">
        <w:rPr>
          <w:rtl w:val="0"/>
        </w:rPr>
        <w:t xml:space="preserve">22.11. </w:t>
      </w:r>
      <w:r w:rsidR="00000000" w:rsidRPr="00000000" w:rsidDel="00000000">
        <w:rPr>
          <w:rtl w:val="0"/>
        </w:rPr>
        <w:t xml:space="preserve">apakšpunkt</w:t>
      </w:r>
      <w:r w:rsidR="00000000" w:rsidRPr="00000000" w:rsidDel="00000000">
        <w:rPr>
          <w:rtl w:val="0"/>
        </w:rPr>
        <w:t xml:space="preserve">ā minētās izmaksas un nepārsniedz četrus procentus no projekta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netiešās attiecināmās izmaksas ir projekta vadības personāla administratīvās izmaksas, kuras plāno kā vienu izmaksu pozīciju, piemērojot netiešo izmaksu vienoto likmi 15 procentu apmērā no šo noteikumu </w:t>
      </w:r>
      <w:r w:rsidR="00000000" w:rsidRPr="00000000" w:rsidDel="00000000">
        <w:rPr>
          <w:rtl w:val="0"/>
        </w:rPr>
        <w:t xml:space="preserve">22.8. </w:t>
      </w:r>
      <w:r w:rsidR="00000000" w:rsidRPr="00000000" w:rsidDel="00000000">
        <w:rPr>
          <w:rtl w:val="0"/>
        </w:rPr>
        <w:t xml:space="preserve">apakšpunkt</w:t>
      </w:r>
      <w:r w:rsidR="00000000" w:rsidRPr="00000000" w:rsidDel="00000000">
        <w:rPr>
          <w:rtl w:val="0"/>
        </w:rPr>
        <w:t xml:space="preserve">ā minētās tiešās attiecināmās personāla izmaksu vienotās likmes. Netiešo attiecināmo izmaksu sadalījums starp projekta iesniedzēju un sadarbības partneri tiek noteikts sadarbības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Neparedzēto izdevumu izlietošanu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no 2024. gada 1. janvāra, taču projekta darbības nevar būt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un uzraudzības nosacījumi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sabiedrība "Latvijas valsts meži" 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visā projekta dzīves ciklā no izveidotās infrastruktūras izmantošanas tiek gūti ieņēmumi, nodrošina šo ieņēmumu uzskaiti. Ja ieņēmumi pārsniedz šo noteikumu 17. punktā minēto apmēru, finansējuma saņēmējs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vēsturisko kūdras ieguves vietu renaturalizāciju saskaņā ar normatīvajiem aktiem par derīgo izrakteņu vietu rekultivāciju;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kārtību, kādā tiks nodrošināta interešu konflikta, krāpšanas un korupcijas risku neesība, identificēti apstākļi, kuri izraisa vai var izraisīt interešu konfliktu, krāpšanu un korupcijas riskus, kas rada apdraudējumu vai kaitējumu projekta īstenošanai, nosaka veicamos pasākumus un izstrādā darbības plānu interešu konflikta, krāpšanas un korupcijas risku preventīvai novēršanai un gadījumiem, kad interešu konflikts, krāpšana vai korupcija ir atklāta, kā arī paraksta apliecinājumu par interešu konflikta neesību, lai tiktu ievērotas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vai tā sadarbības partnera īpašumā, valdījumā, turējumā vai lietojumā visā projekta dzīves ciklā;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uzskaiti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projekta rezultātu ilgtspēju, uzturēšanu un apsaimniekošanu visā projekta dzīves ciklā saskaņā ar spēkā esošo īpaši aizsargājamo dabas teritoriju dabas aizsardzības plānu vai ar ekspertu norādījumiem par teritoriju apsaimniekošanas darbībām pēc projekta noslēgšanas;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horizontālo principu "Nenodarīt būtisku kaitējumu", "Klimatdrošināšana" un "Vienlīdzība, iekļaušana, nediskriminācija un pamattiesību ievērošana" ievērošanu un datu uzkrāšanu par  horizontālā principa "Vienlīdzība, iekļaušana, nediskriminācija un pamattiesību ievērošana" rādītāju sasniegtajām vērtībām un to ievadi Kohēzijas politikas fondu vadības informācijas sistēmā: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būvētās vides, informācijas tehnoloģiju risinājumu un informācijas tehnoloģiju piekļūstamību personām ar dažādiem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 tika nodrošināta  cilvēkiem ar dažādu veidu funkcionāliem traucējumiem piekļūstamā formātā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tiek apsaimniekoti azbestu saturoši materiāli, tie tiks apstrādāti, transportēti un utilizēti atbilstoši normatīvajiem aktiem par darba aizsardzības prasībām darbā ar azbestu un azbesta atkritumu apsaimniekošanu.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avansa maksājumus, kurus var izmaksāt vairākos maksājumos, ievērojot, ka avansa un starpposma maksājumu kopsumma nepārsniedz 100 procentus no projektam piešķirtā Taisnīgas pārkārtošanās fonda  finansējuma un valsts budžeta finansējuma kopsummas.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Avansa maksājuma izlietošanas laiks finansējuma saņēmējam nepārsniedz sešus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ar saimniecisku darbību nesaistīts projekts visā tā dzīves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23-TA-2824</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23-TA-2824</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noteikumu_projekts_23-TA-2824.docx</dc:title>
</cp:coreProperties>
</file>

<file path=docProps/custom.xml><?xml version="1.0" encoding="utf-8"?>
<Properties xmlns="http://schemas.openxmlformats.org/officeDocument/2006/custom-properties" xmlns:vt="http://schemas.openxmlformats.org/officeDocument/2006/docPropsVTypes"/>
</file>