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22. oktobra noteikumos Nr. 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likuma 19. panta</w:t>
      </w:r>
      <w:r w:rsidR="00000000" w:rsidRPr="00000000" w:rsidDel="00000000">
        <w:rPr>
          <w:rStyle w:val="paragraph"/>
          <w:i w:val="1"/>
          <w:rtl w:val="0"/>
        </w:rPr>
        <w:t xml:space="preserve">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22. oktobra noteikumos Nr. 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 (Latvijas Vēstnesis, 2024, 211. nr.; 2025, 53.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2.7.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divējāda lietojuma jauns produkts – produkts vai tehnoloģija, ko var izmantot gan civilām, gan militārām vajadzībām;".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ārvalstu sadarbības partneris – komersants vai pētniecības un zināšanu izplatīšanas organizācija, kas reģistrēta Eiropas Savienības dalībvalstī, Eiropas Ekonomikas zonas valstī vai Ziemeļatlantijas līguma organizācijas dalībvalstī, kas nav Latvija, un ar kuru projekta iesniedzējs ir noslēdzis sadarbības 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2.9.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līgumpētījums – finansējuma saņēmēja interesēs veikta pētniecība, ko finansējuma saņēmēja uzdevumā īsteno zinātniskā institūcija, kura noteikta saskaņā ar normatīvajiem aktiem par iepirkuma procedūru un tās piemērošanas kārtību pasūtītāja finansētiem projektiem un kuras darbība reģistrēta Latvijā vai ārvalstīs. Līgumpētījumu raksturo šādi kritēriji: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 finansējuma saņēmējam pieder projekta rezultāti un uz finansējuma saņēmēju attiecas neizdošanās risks;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 tehnoloģiju tiesības, kas izriet no zinātniskās institūcijas projekta ietvaros veiktās darbības, pilnībā piešķir finansējuma saņēmējam, kurš gūst visas ekonomiskās priekšrocības no šīm tiesībām, paturot tās pilnībā savā rīcībā;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2.9.3. finansējuma saņēmējs nosaka šā pakalpojuma noteikumus un nosacījumus, kas attiecināmi uz projekta rezultātu publicitāti un komercializāciju;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2.9.4. viena projekta ietvaros finansējuma saņēmējs var apvienot vairākus līgumpētījumus dažādām zinātniskajām institūcijām, ja tas nepieciešams projekta rezultātu sasniegšanai."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Pasākuma mērķis ir finansējuma pieejamības nodrošināšana uzņēmumu jaunu, t.sk. divējāda lietojuma, produktu un tehnoloģiju izstrādei, piesaistot Eiropas Reģionālās attīstības fonda finansējumu un privāto līdzfinansējumu."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Pasākuma ietvaros kopējais pieejamais attiecināmais finansējums ir 29 365 499 </w:t>
      </w:r>
      <w:r w:rsidR="00000000" w:rsidRPr="00000000" w:rsidDel="00000000">
        <w:rPr>
          <w:i w:val="1"/>
          <w:rtl w:val="0"/>
        </w:rPr>
        <w:t xml:space="preserve">euro</w:t>
      </w:r>
      <w:r w:rsidR="00000000" w:rsidRPr="00000000" w:rsidDel="00000000">
        <w:rPr>
          <w:rtl w:val="0"/>
        </w:rPr>
        <w:t xml:space="preserve">, tai skaitā Eiropas Reģionālās attīstības fonda finansējums – 24 960 674 </w:t>
      </w:r>
      <w:r w:rsidR="00000000" w:rsidRPr="00000000" w:rsidDel="00000000">
        <w:rPr>
          <w:i w:val="1"/>
          <w:rtl w:val="0"/>
        </w:rPr>
        <w:t xml:space="preserve">euro</w:t>
      </w:r>
      <w:r w:rsidR="00000000" w:rsidRPr="00000000" w:rsidDel="00000000">
        <w:rPr>
          <w:rtl w:val="0"/>
        </w:rPr>
        <w:t xml:space="preserve"> un valsts budžeta līdzfinansējums – 4 404 825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Vienam projekta iesniegumam minimālais kopējo attiecināmo izmaksu apmērs nav mazāks par 200 000 </w:t>
      </w:r>
      <w:r w:rsidR="00000000" w:rsidRPr="00000000" w:rsidDel="00000000">
        <w:rPr>
          <w:i w:val="1"/>
          <w:rtl w:val="0"/>
        </w:rPr>
        <w:t xml:space="preserve">euro </w:t>
      </w:r>
      <w:r w:rsidR="00000000" w:rsidRPr="00000000" w:rsidDel="00000000">
        <w:rPr>
          <w:rtl w:val="0"/>
        </w:rPr>
        <w:t xml:space="preserve">(ieskaitot), maksimāli pieļaujamais publiskais finansējums viena projekta ietvaros ir 1 000 000 </w:t>
      </w:r>
      <w:r w:rsidR="00000000" w:rsidRPr="00000000" w:rsidDel="00000000">
        <w:rPr>
          <w:i w:val="1"/>
          <w:rtl w:val="0"/>
        </w:rPr>
        <w:t xml:space="preserve">euro </w:t>
      </w:r>
      <w:r w:rsidR="00000000" w:rsidRPr="00000000" w:rsidDel="00000000">
        <w:rPr>
          <w:rtl w:val="0"/>
        </w:rPr>
        <w:t xml:space="preserve">no projekta ietvaros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projektu iesniegumu iesniegšanu izsludina par visu šo noteikumu 6. punktā minēto 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šo noteikumu 6. punktā minētais finansējums netiek sadalīts pilnībā, tad šī pasākuma ietvaros atbildīgā iestāde, izvērtējot atlikušo finansējumu, ierosina veidot jaunu atklātu projektu iesniegumu atlasi atbilstoši šo noteikumu 13.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 tā apgrozījuma apjoms pēdējā noslēgtajā finanšu gadā līdz projekta iesnieguma iesniegšanai Kohēzijas politikas fondu vadības informācijas sistēmā (turpmāk – vadības informācijas sistēma) ir vismaz 30 % apmērā no plānotā publiskā finansējuma apmēra, vai tam ir noslēgts līgums ar Nacionālajiem bruņotajiem spēkiem un tā apjoms ir vismaz 30 % apmērā no plānotā publiskā finansējuma apmēra. Jaunam komersantam - tā apgrozījuma apjoms pēdējā noslēgtajā finanšu gadā līdz projekta iesnieguma iesniegšanai vadības informācijas sistēmā ir vismaz projekta īstenošanai nepieciešamā privātā līdzfinansējuma apmērā, vai tam ir noslēgts līgums ar Nacionālajiem bruņotajiem spēkiem un tā apjoms ir vismaz projekta īstenošanai nepieciešamā privātā līdzfinansējuma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 tam, saskaņā ar Valsts ieņēmumu dienesta nodokļu (nodevu) maksātāju reitingu publiskajā datubāzē pieejamo informāciju, ir laba nodokļu saistību izpilde vai, saskaņā ar Valsts ieņēmumu dienesta administrēto nodokļu (nodevu) parādnieku publiskajā datubāzē pieejamo informāciju, nav nodokļu vai nodevu parāda, tai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projekta iesniegšanas dienā un precizētā projekta iesniegšanas dienā vai attiecībā uz kuriem ir noslēgts vienošanās līgums saskaņā ar likuma "Par nodokļiem un nodevām" 41.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Projekta iesniedzējam, kas atbilst jauna komersanta statusam, šo noteikumu 14.2. apakšpunktā minēto nosacījumu var nepiemērot. Šajā gadījumā maksimāli pieļaujamais publiskais finansējums ir 300 000 </w:t>
      </w:r>
      <w:r w:rsidR="00000000" w:rsidRPr="00000000" w:rsidDel="00000000">
        <w:rPr>
          <w:i w:val="1"/>
          <w:rtl w:val="0"/>
        </w:rPr>
        <w:t xml:space="preserve">euro </w:t>
      </w:r>
      <w:r w:rsidR="00000000" w:rsidRPr="00000000" w:rsidDel="00000000">
        <w:rPr>
          <w:rtl w:val="0"/>
        </w:rPr>
        <w:t xml:space="preserve">no projekta ietvaros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Divējāda lietojuma jaunu produktu projekta iesniegumi ir prioritāri pret citiem projektu iesniegumiem."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 Aizsardzības ministrijas vai tās norīkotas iestādes pārstāvi projektu iesniegumu inovācijas, aktualitātes un pielietojamības aizsardzības jomā un zinātniskā aspekta vērtēšanai (ja projekta iesniegums paredz divējāda lietojuma jauna produkta vai tehnoloģijas izstrādi)."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18.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Ja projekta iesniegums paredz jauna produkta vai tehnoloģijas izstrādi, Latvijas Zinātnes padome projekta inovācijas, aktualitātes un zinātniskās komponentes vērtēšanai pieprasa ekspertu atzinumu. Atzinuma sniegšanai piesaista ekspertus, kam pēdējo 10 gadu laikā ir pieredze projektu vērtēšanā Eiropas Savienības inovāciju atbalsta programmās vai citās inovāciju atbalsta programmās, kur viena projekta kopējā summa bijusi vismaz 200 000 </w:t>
      </w:r>
      <w:r w:rsidR="00000000" w:rsidRPr="00000000" w:rsidDel="00000000">
        <w:rPr>
          <w:i w:val="1"/>
          <w:rtl w:val="0"/>
        </w:rPr>
        <w:t xml:space="preserve">euro</w:t>
      </w:r>
      <w:r w:rsidR="00000000" w:rsidRPr="00000000" w:rsidDel="00000000">
        <w:rPr>
          <w:rtl w:val="0"/>
        </w:rPr>
        <w:t xml:space="preserve">. Piesaistītais eksperts nav saistīts ar projektu Eiropas Parlamenta un Padomes 2024. gada 23. septembra Regulas (ES, Euratom) 2024/2509 par finanšu noteikumiem, ko piemēro Savienības vispārējam budžetam (turpmāk – regula Nr. 2024/2509) 61. panta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19.6.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"19.6. ja projekts pilnībā tiek īstenots kā līgumpētījums – nodomu protokolu, apliecinājumu vai citu dokumentu, kas apliecina projekta iesniedzēja un līgumpētījuma izpildītāja sadarbību projekta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27.15.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"27.15. ja finansējuma saņēmējs ir komersants, kas atbilst sīkā (mikro), mazā vai vidējā saimnieciskās darbības subjekta statusam – izmaksas par patentiem un citu nemateriālu aktīvu iegūšanu, ciktāl tos izmanto rūpnieciskā pētījuma, eksperimentālās izstrādes vai tehniski ekonomiskās priekšizpētes darbībām, atbilst Komisijas regulas Nr. 651/2014 28. panta 2. punkta "a"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27.16.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"27.16. izmaksas par nozares ekspertīzi tirgus un tehnoloģiju izpētei, ciktāl tas nepieciešams projekta īstenošanai, atbilst Eiropas Komisijas 2023. gada 13. decembra Regulai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33.1.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 ja rūpnieciskā pētījuma, eksperimentālās izstrādes vai tehniski ekonomiskās priekšizpētes īstenošanā iesaistītais projekta vadības un īstenošanas personāls, tai skaitā zinātniskais darbinieks, projekta ietvaros saņem atlīdzību, noslēdzot darba līgumu, darba laika uzskaites tabulās norāda, cik stundu veltīts darbam projektā (atsevišķi norādot noslodzi rūpniecisko pētījumu, eksperimentālo izstrāžu un tehniski ekonomiskās priekšizpētes veikšanai) un cik stundu veltīts darbam, kas nav saistīts ar projektu;".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33.2.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 ja projekta vadības un īstenošanas personāls strādā projektā un veic citas funkcijas, par kurām saņem atlīdzību cita darba līguma vai uzņēmuma līguma ietvaros, darbs projektā netiek veikts laikā, kad atbilstoši noslēgtajam līgumam persona veic ar projektu nesaistītus uzdevumus. Ja darbu projekta ietvaros veic pamatdarba laikā, par attiecīgu stundu skaitu samazina pamatdarba slodzi;".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 33.4.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Šo noteikumu 27.12. apakšpunktā minēto izmaksu maksimāli pieļaujamā finansējuma intensitāte ir 85%."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w:t>
      </w:r>
      <w:r w:rsidR="00000000" w:rsidRPr="00000000" w:rsidDel="00000000">
        <w:rPr>
          <w:rtl w:val="0"/>
        </w:rPr>
        <w:t xml:space="preserve"> Šo noteikumu 27.15. apakšpunktā minēto izmaksu maksimāli pieļaujamā finansējuma intensitāte saskaņā ar Komisijas regulas Nr. 651/2014 28. panta 3. punktu ir 50 %."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w:t>
      </w:r>
      <w:r w:rsidR="00000000" w:rsidRPr="00000000" w:rsidDel="00000000">
        <w:rPr>
          <w:rtl w:val="0"/>
        </w:rPr>
        <w:t xml:space="preserve"> Šo noteikumu 27.16. apakšpunktā minēto izmaksu maksimāli pieļaujamā finansējuma intensitāte ir 85%."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Projektu īsteno saskaņā ar noslēgto līgumu par projekta īstenošanu, bet ne ilgāk kā līdz 2029. gada 31. decembrim. Projekta īstenošanu uzsāk ne vēlāk kā sešus mēnešus pēc līguma par projekta īstenošanu noslēgšanas."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47.2.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"47.2. ievietot savā tīmekļvietnē aktuālo informāciju par projekta īstenošanas gaitu un nodrošināt informācijas un publicitātes pasākumus;".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Sadarbības partnerim ir pienākums ievietot savā tīmekļvietnē aktuālo informāciju par projekta īstenošanas gaitu un nodrošināt informācijas un publicitātes pasākumus."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Projekta pārtraukšana pirms termiņa beigām ir atbalstāma, ja projekta īstenošanas gaitā finansējuma saņēmējs vai sadarbības partneris konstatē, ka nebūs iespējams pilnībā sasniegt projekta izvirzīto mērķi. Sadarbības iestāde, pamatojoties uz zinātniskās kvalitātes izvērtējumu, kuru sniedz Aizsardzības ministrija vai Latvijas Zinātnes padome, izvērtē projekta rezultātus, iekļautās izmaksas un sasniegto rezultātu atbilstību projekta mērķim un plānotajām aktivitātēm. Projektā ietverto atsevišķu aktivitāšu izmaksas ir attiecināmas, ja aktivitātes ietvaros plānotā darbība ir pilnībā pabeigta atbilstoši projekta iesniegumam un līguma par projekta īstenošanu nosacījumiem. Izmaksas var tikt attiecinātas un iekļautas maksājuma pieprasījumā tikai par tādiem starpposmiem, kas projekta pārtraukšanas brīdī ir pabeigti."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54.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Projektu īstenošanas uzraudzībai Aizsardzības ministrija vai Latvijas Zinātnes padome kopīgi ar sadarbības iestādi nodrošina projektu gala rezultātu zinātniskās kvalitātes izvērtējumu, ievērojot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54.1. atbildīgā iestāde izstrādā un ar sadarbības iestādi, Aizsardzības ministriju un Latvijas Zinātnes padomi saskaņo izvērtējuma standartformas, izvērtējumā ietverot prasību Aizsardzības ministrijas pārstāvim vai Latvijas Zinātnes padomes piesaistītajam ekspertam izvērtēt un pamatot, cik lielā mērā plānotie rezultāti ir sasniegti;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54.2. gala rezultātu kvalitātes izvērtējumu, kuru veic Aizsardzības ministrija vai Latvijas Zinātnes padome, sadarbības iestāde izmanto lēmuma pieņemšanā par projekta mērķa un plānoto rezultātu sasniegšanu. Pamatojoties uz gala izvērtējumu par projektā plānoto rezultātu sasniegšanas līmeni, sadarbības iestāde var pieņemt lēmumu par finanšu korekcijas piemērošanu saskaņā ar vadošās iestādes izstrādātajām vadlīnijām par finanšu korekciju piemērošanu. Par minēto lēmumu sadarbības iestāde informē atbildīgo iestādi."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56.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Aizsardzības ministrija vai Latvijas Zinātnes padome atzinumu par finansējuma saņēmēja sagatavoto noslēguma rezultātu pārskatu sniedz, ievērojot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56.1. atzinumā tiek iekļauta vismaz šāda informācija: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56.1.1. pētījuma īstenošanas gaita, kas vērsta uz projekta mērķu un plānoto pētniecības rezultātu sasniegšanu;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56.1.2. finansējuma izlietojums, kas ietver novērtējumu par projektā piešķirtā finansējuma izlietojuma atbilstību gala rezultāta mērķiem;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56.1.3. sasniegtie pētniecības rezultāti ir skaidri un nepārprotami;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56.1.4. pētniecības rezultātu zinātniskā kvalitāte ir atbilstoša, ņemot vērā sasniegto rezultātu zinātnisko vērtību, novitātes līmeni, tajā skaitā ir gūstama pārliecība, ka projekta ietvaros izstrādātais prototips atbilst jauna produkta vai tehnoloģijas definīcijai atbilstoši šo noteikumu 2.3. apakšpunktā minētajam, vai projekta darbības ir vērstas uz prototipa izstrādi;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56.1.5. inovāciju kvalitāte, aktualitāte un pielietojamība aizsardzības un drošības jomā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56.1.6. projektā izmantotās zināšanas nav pieejamas citur vai ir aizsargātas, izmantotās zināšanas palielina industrijas zināšanu apjomu;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56.2. noslēguma rezultātu pārskata atbilstību šo noteikumu 56.1. apakšpunktā minētajiem kritērijiem raksturo ar šādiem vērtējumiem: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56.2.1. atbilst;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56.2.2. daļēji atbilst;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56.2.3. neatbilst."</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25-TA-1276</w:t>
    </w:r>
    <w:r>
      <w:br/>
    </w:r>
    <w:r w:rsidR="00000000" w:rsidRPr="00000000" w:rsidDel="00000000">
      <w:rPr>
        <w:rtl w:val="0"/>
      </w:rPr>
      <w:t xml:space="preserve">Izdrukāts 29.07.2026. 23.32 - 1.0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25-TA-1276</w:t>
    </w:r>
    <w:r>
      <w:br/>
    </w:r>
    <w:r w:rsidR="00000000" w:rsidRPr="00000000" w:rsidDel="00000000">
      <w:rPr>
        <w:rtl w:val="0"/>
      </w:rPr>
      <w:t xml:space="preserve">Izdrukāts 29.07.2026. 23.32 - 1.0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noteikumu_(grozījumu)_projekts_25-TA-1276.docx</dc:title>
</cp:coreProperties>
</file>

<file path=docProps/custom.xml><?xml version="1.0" encoding="utf-8"?>
<Properties xmlns="http://schemas.openxmlformats.org/officeDocument/2006/custom-properties" xmlns:vt="http://schemas.openxmlformats.org/officeDocument/2006/docPropsVTypes"/>
</file>