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Grāmatvedības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Grāmatvedības likumā (Latvijas Vēstnesis, 2021, 121.B nr.; 2024, 193., 221. nr.; 2025, 111.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1. panta pirmās daļas 10. punkta "e" apakšpunktā vārdus "(turpmāk – budžeta iestādes)" ar vārdiem "citā publiskajā personā un iestādē, kā arī patstāvīgajā iestādē".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budžeta iestādēm, no valsts budžeta daļēji finansētām atvasinātām publiskām personām un budžeta nefinansētām iestādēm Likuma par budžetu un finanšu vadību izpratnē (turpmāk – budžeta iestādes), citām publiskajām personām un iestādēm, kā arī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vārda "saimniecībām" ar vārdiem "dzīvokļu īpašnieku kopībām, kas veic saimniecisko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18.</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1 </w:t>
      </w:r>
      <w:r w:rsidR="00000000" w:rsidRPr="00000000" w:rsidDel="00000000">
        <w:rPr>
          <w:b w:val="1"/>
          <w:rtl w:val="0"/>
        </w:rPr>
        <w:t xml:space="preserve">pants. Informācijas nodošana Eiropas vienotajam piekļuves punktam</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Ja uzņēmumi ir Ilgtspējas informācijas atklāšanas likuma subjekti vai likuma "Par ieguves rūpniecībā vai pirmatnējo mežu izstrādē iesaistītu komercsabiedrību paziņojumiem par maksājumiem pārvaldes iestādēm" subjekti, to publiskojamie dokumenti tiek nodoti Eiropas vienotajam piekļuves punktam, kas izveidots saskaņā ar Eiropas Parlamenta un Padomes 2023. gada 13. decembra regulu (ES) Nr. 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kā arī uz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tās mātes sabiedrības nosaukums, kas sniedz informāciju grupas līmenī saskaņā ar Ilgtspējas informācijas atklāšanas likumu,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tās mātes sabiedrības juridiskās personas identifikators (ja tāds pieejams), kas sniedz informāciju grupas līmenī saskaņā ar Ilgtspējas informācijas atklāšanas likumu,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uzņēmuma lielums pēc kategorijas saskaņā ar regulas 2023/2859 7. panta 4. punkta "d" apakšpunktu,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nozares sektors, kurā savu saimniecisko darbību veic uzņēmums, saskaņā ar regulas 2023/2859 7. panta 4. punkta "e" apakšpunktu,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informācijas veids saskaņā ar regulas 2023/2859 7. panta 4. punkta "c" apakšpunktu,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Regulas 2023/2859 2. panta 2. punktā norādītajai definīcijai atbilstošu informācijas vākšanas struktūru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12. un 13.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Šā likuma 18.</w:t>
      </w:r>
      <w:r w:rsidR="00000000" w:rsidRPr="00000000" w:rsidDel="00000000">
        <w:rPr>
          <w:vertAlign w:val="superscript"/>
          <w:rtl w:val="0"/>
        </w:rPr>
        <w:t xml:space="preserve">1</w:t>
      </w:r>
      <w:r w:rsidR="00000000" w:rsidRPr="00000000" w:rsidDel="00000000">
        <w:rPr>
          <w:rtl w:val="0"/>
        </w:rPr>
        <w:t xml:space="preserve"> pants stājas spēkā 2028. gada 10. janvārī.</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Ministru kabinets līdz 2027. gada 1. oktobrim izdod noteikumus, kurā noteikta šā likuma 18.</w:t>
      </w:r>
      <w:r w:rsidR="00000000" w:rsidRPr="00000000" w:rsidDel="00000000">
        <w:rPr>
          <w:vertAlign w:val="superscript"/>
          <w:rtl w:val="0"/>
        </w:rPr>
        <w:t xml:space="preserve">1</w:t>
      </w:r>
      <w:r w:rsidR="00000000" w:rsidRPr="00000000" w:rsidDel="00000000">
        <w:rPr>
          <w:rtl w:val="0"/>
        </w:rPr>
        <w:t xml:space="preserve"> panta ceturtajā daļā minētā informācijas vākšanas struktūra."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informatīvo atsauci uz Eiropas Savienības direktīvām ar 4.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Eiropas Parlamenta un Padomes 2023. gada 13. decembra direktīvas (ES) 2023/2864, ar ko attiecībā uz Eiropas vienotā piekļuves punkta izveidi un darbību groza konkrētas direktīvas."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25-TA-1118</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25-TA-1118</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likumprojekts_(grozījumi)_25-TA-1118.docx</dc:title>
</cp:coreProperties>
</file>

<file path=docProps/custom.xml><?xml version="1.0" encoding="utf-8"?>
<Properties xmlns="http://schemas.openxmlformats.org/officeDocument/2006/custom-properties" xmlns:vt="http://schemas.openxmlformats.org/officeDocument/2006/docPropsVTypes"/>
</file>