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Grozījumi Ministru kabineta 2022. gada 11. oktobra noteikumos Nr. 635 "Ierobežoto radiofrekvenču joslu noteikumi"</w:t>
      </w:r>
    </w:p>
    <w:p w:rsidP="00000000" w:rsidRDefault="00000000" w:rsidR="00000000" w:rsidRPr="00000000" w:rsidDel="00000000">
      <w:pPr>
        <w:pStyle w:val="paragraph"/>
        <w:contextualSpacing w:val="0"/>
        <w:jc w:val="right"/>
        <w:ind w:left="482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i w:val="1"/>
          <w:rtl w:val="0"/>
        </w:rPr>
        <w:t xml:space="preserve">Izdoti saskaņā ar </w:t>
      </w:r>
      <w:r w:rsidR="00000000" w:rsidRPr="00000000" w:rsidDel="00000000">
        <w:rPr>
          <w:rStyle w:val="paragraph"/>
          <w:i w:val="1"/>
          <w:rtl w:val="0"/>
        </w:rPr>
        <w:t xml:space="preserve">Elektronisko sakaru likuma</w:t>
      </w:r>
      <w:r w:rsidR="00000000" w:rsidRPr="00000000" w:rsidDel="00000000">
        <w:rPr>
          <w:rStyle w:val="paragraph"/>
          <w:i w:val="1"/>
          <w:rtl w:val="0"/>
        </w:rPr>
        <w:t xml:space="preserve"> 45. panta pirmo daļu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Izdarīt Ministru kabineta 2022. gada 11. oktobra noteikumos Nr. 635 "Ierobežoto radiofrekvenču joslu noteikumi" (Latvijas Vēstnesis, 2022, 201. nr.; 2024, 187. nr.) šādus grozījumus: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Papildināt ar 2.13.</w:t>
      </w:r>
      <w:r w:rsidR="00000000" w:rsidRPr="00000000" w:rsidDel="00000000">
        <w:rPr>
          <w:vertAlign w:val="superscript"/>
          <w:rtl w:val="0"/>
        </w:rPr>
        <w:t xml:space="preserve">1</w:t>
      </w:r>
      <w:r w:rsidR="00000000" w:rsidRPr="00000000" w:rsidDel="00000000">
        <w:rPr>
          <w:rtl w:val="0"/>
        </w:rPr>
        <w:t xml:space="preserve"> apakšpunktu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"2.13.</w:t>
      </w:r>
      <w:r w:rsidR="00000000" w:rsidRPr="00000000" w:rsidDel="00000000">
        <w:rPr>
          <w:vertAlign w:val="superscript"/>
          <w:rtl w:val="0"/>
        </w:rPr>
        <w:t xml:space="preserve">1</w:t>
      </w:r>
      <w:r w:rsidR="00000000" w:rsidRPr="00000000" w:rsidDel="00000000">
        <w:rPr>
          <w:rtl w:val="0"/>
        </w:rPr>
        <w:t xml:space="preserve"> 3410,0–3800,0 MHz;".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Papildināt ar 5. 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"5. Šo noteikumu 2.13. un 2.14. apakšpunkts ir spēkā līdz 2028. gada 31. decembrim."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Papildināt ar 6. 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"6. Šo noteikumu 2.13.</w:t>
      </w:r>
      <w:r w:rsidR="00000000" w:rsidRPr="00000000" w:rsidDel="00000000">
        <w:rPr>
          <w:vertAlign w:val="superscript"/>
          <w:rtl w:val="0"/>
        </w:rPr>
        <w:t xml:space="preserve">1</w:t>
      </w:r>
      <w:r w:rsidR="00000000" w:rsidRPr="00000000" w:rsidDel="00000000">
        <w:rPr>
          <w:rtl w:val="0"/>
        </w:rPr>
        <w:t xml:space="preserve"> apakšpunkts stājas spēkā 2029. gada 1. janvārī."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Uzvārds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Uzvārds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(grozījumu) projekts 26-TA-349</w:t>
    </w:r>
    <w:r>
      <w:br/>
    </w:r>
    <w:r w:rsidR="00000000" w:rsidRPr="00000000" w:rsidDel="00000000">
      <w:rPr>
        <w:rtl w:val="0"/>
      </w:rPr>
      <w:t xml:space="preserve">Izdrukāts 22.09.2026. 14.57 - 1.0.VK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(grozījumu) projekts 26-TA-349</w:t>
    </w:r>
    <w:r>
      <w:br/>
    </w:r>
    <w:r w:rsidR="00000000" w:rsidRPr="00000000" w:rsidDel="00000000">
      <w:rPr>
        <w:rtl w:val="0"/>
      </w:rPr>
      <w:t xml:space="preserve">Izdrukāts 22.09.2026. 14.57 - 1.0.VK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2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noteikumu_(grozījumu)_projekts_26-TA-349.docx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