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30. novembrī (prot. Nr. 78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(Latvijas Vēstnesis, 2016, 174. nr.; 2017, 164. nr.; 2020, 31. nr.; 2021, 70.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Pasākuma kopējās izmaksās var iekļaut neattiecināmās izmaksas, nepārsniedzot 381 115 </w:t>
      </w:r>
      <w:r w:rsidR="00000000" w:rsidRPr="00000000" w:rsidDel="00000000">
        <w:rPr>
          <w:i w:val="1"/>
          <w:rtl w:val="0"/>
        </w:rPr>
        <w:t xml:space="preserve">euro</w:t>
      </w:r>
      <w:r w:rsidR="00000000" w:rsidRPr="00000000" w:rsidDel="00000000">
        <w:rPr>
          <w:rtl w:val="0"/>
        </w:rPr>
        <w:t xml:space="preserve">, kuras finansē no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Neattiecināmās izmaksas plāno šo noteikumu 24.2.1. apakšpunktā minētās darbības īstenošanai, un tām piemēro tos pašus principus, kas noteikti šo noteikumu 31.</w:t>
      </w:r>
      <w:r w:rsidR="00000000" w:rsidRPr="00000000" w:rsidDel="00000000">
        <w:rPr>
          <w:vertAlign w:val="superscript"/>
          <w:rtl w:val="0"/>
        </w:rPr>
        <w:t xml:space="preserve">1</w:t>
      </w:r>
      <w:r w:rsidR="00000000" w:rsidRPr="00000000" w:rsidDel="00000000">
        <w:rPr>
          <w:rtl w:val="0"/>
        </w:rPr>
        <w:t xml:space="preserve"> punktā minētajā vienas vienības izmaksu metodikā pedagoģiskā personāla atlīdzības izmaksām, un šo noteikumu 30. punktā noteikto netiešo izmaksu vienoto likmi 15 procentu apmērā no pedagoģiskā personāla atlīdzības izmaksām."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noteikumu_(grozījumu)_projekts_21-TA-17.docx</dc:title>
</cp:coreProperties>
</file>

<file path=docProps/custom.xml><?xml version="1.0" encoding="utf-8"?>
<Properties xmlns="http://schemas.openxmlformats.org/officeDocument/2006/custom-properties" xmlns:vt="http://schemas.openxmlformats.org/officeDocument/2006/docPropsVTypes"/>
</file>