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263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29. aprīlī (prot. Nr. 17 31.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20. februāra noteikumos Nr. 111 "Eiropas Savienības kohēzijas politikas programmas 2021.–2027. gadam 4.3.6. specifiskā atbalsta mērķa "Veicināt nabadzības vai sociālās atstumtības riskam pakļauto cilvēku, tostarp vistrūcīgāko un bērnu, sociālo integrāciju" 4.3.6.4. pasākuma "Atbalsta instrumentu izstrāde un ieviešana ģimenes funkcionalitātes stiprināšanai" pirmās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20. februāra noteikumos Nr. 111 "Eiropas Savienības kohēzijas politikas programmas 2021.–2027. gadam 4.3.6. specifiskā atbalsta mērķa "Veicināt nabadzības vai sociālās atstumtības riskam pakļauto cilvēku, tostarp vistrūcīgāko un bērnu, sociālo integrāciju" 4.3.6.4. pasākuma "Atbalsta instrumentu izstrāde un ieviešana ģimenes funkcionalitātes stiprināšanai" pirmās kārtas īstenošanas noteikumi" (Latvijas Vēstnesis, 2024, 37.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Pasākumam plānotais un pieejamais kopējais attiecināmais finansējums ir 9 453 364 </w:t>
      </w:r>
      <w:r w:rsidR="00000000" w:rsidRPr="00000000" w:rsidDel="00000000">
        <w:rPr>
          <w:i w:val="1"/>
          <w:rtl w:val="0"/>
        </w:rPr>
        <w:t xml:space="preserve">euro</w:t>
      </w:r>
      <w:r w:rsidR="00000000" w:rsidRPr="00000000" w:rsidDel="00000000">
        <w:rPr>
          <w:rtl w:val="0"/>
        </w:rPr>
        <w:t xml:space="preserve">, tai skaitā Eiropas Sociālā fonda Plus finansējums – 8 035 359 </w:t>
      </w:r>
      <w:r w:rsidR="00000000" w:rsidRPr="00000000" w:rsidDel="00000000">
        <w:rPr>
          <w:i w:val="1"/>
          <w:rtl w:val="0"/>
        </w:rPr>
        <w:t xml:space="preserve">euro</w:t>
      </w:r>
      <w:r w:rsidR="00000000" w:rsidRPr="00000000" w:rsidDel="00000000">
        <w:rPr>
          <w:rtl w:val="0"/>
        </w:rPr>
        <w:t xml:space="preserve"> un valsts budžeta līdzfinansējums – 1 418 005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16.1.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"16.1. finansējuma saņēmēja projekta vadības un īstenošanas personāla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17.1.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"17.1. šo noteikumu 14.2.  un 14.3. apakšpunktā  minētās atbalstāmās darbības īstenošanai var paredzēt šo noteikumu 21.1.2. apakšpunktā minēto izglītojošo programmu ģimenes pratības paaugstināšanai tulkošanas izdevumus un šo noteikumu 22.1.1. un 22.1.2. apakšpunktā minēto terapijas metožu un 22.1.3. apakšpunktā  minētā speciālistu starpinstitucionālās sadarbības modeļa tulkošanas, lietošanas mācību un uzturēšanas izdevumus;".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22.1.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"22.1. finansējuma saņēmējs, kurš:</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22.1.1. ņemot vērā šo noteikumu 20.2.1. apakšpunktā minētā izvērtējuma rezultātus, slēdz līgumu par terapijas metodes darbam ar šo noteikumu 3.1. apakšpunktā minēto mērķa grupu – no vardarbības cietušiem bērniem – iegādi vai tiesībām to izmantot;</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22.1.2. slēdz līgumu par multidimensiālās ģimenes terapijas metodes darbam ar šo noteikumu 3.2. apakšpunktā minēto mērķa grupu – vardarbību veikušiem bērniem – iegādi vai tiesībām to izmantot;</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22.1.3. ņemot vērā šo noteikumu 20.2.1. apakšpunktā minētā izvērtējuma rezultātus, slēdz līgumu par speciālistu starpinstitucionālās sadarbības modeļa iegādi vai tiesībām to izmantot;".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22.2.2.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"22.2.2. izstrādā šo noteikumu 3.1. un 3.2. apakšpunktā  minētajai mērķa grupai paredzētu sociālās rehabilitācijas pakalpojumu novērtējumu un kvalitātes kritērijus, kā arī organizē šo noteikumu 3.4. apakšpunktā  minēto speciālistu mācības;".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22.2.5.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"22.2.5. sarežģītu vardarbības gadījumu risināšanai pielāgo šo noteikumu 3.4. apakšpunktā  minētajai mērķa grupai paredzēto starpinstitucionālās sadarbības modeli,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22.2.5.1. izstrādā risinājumu šo noteikumu 22.1.3. apakšpunktā minētā speciālistu starpinstitucionālās sadarbības modeļa ieviešanai;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22.2.5.2. izstrādā mācību metodiku un atbilstoši tai nodrošina šo noteikumu 3.4. apakšpunktā minētās mērķa grupas personu mācības par starpinstitucionālās sadarbības modeli un tā ieviešanu;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22.2.5.3. īsteno izmēģinājumprojektu šo noteikumu 22.2.5.1. apakšpunktā  minētā risinājuma aprobācijai, izvērtē tā rezultātus un, ja nepieciešams, pilnveido speciālistu starpinstitucionālās sadarbības modeli un sniedz priekšlikumus tā nodrošināšanai ilgtermiņā;".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25.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Šo noteikumu 14.2., 14.3. un 14.4. apakšpunktā minēto atbalstāmo darbību īstenošanas un maksājuma pieprasījumu sagatavošanas nolūkā finansējuma saņēmēja piesaistīts pakalpojuma sniedzējs veic šo noteikumu 3.4. apakšpunktā minētās mērķa grupas personu atbilstības pārbaudi, lai iesaistītu šo noteikumu 21.1.3., 21.2. un 22.2.5.3. apakšpunktā minētajā izmēģinājumprojektā un šo noteikumu 21.3., 22.2.2., 22.2.5.2., 23.2.1. un 23.2.2. apakšpunktā minētajās mācībās un kompetences pilnveides pasākumos, kā arī veic minēto personu identificēšanu un uzskaiti, norādot vārdu, uzvārdu, specialitāti un citu – personas datus nesaturošu – informāciju,  un iesniedz finansējuma saņēmējam šo noteikumu 26.9. apakšpunktā minētās personu atbilstības pēcpārbaudes veikšanai nepieciešamos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26.1.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"26.1. nodibina civildienesta vai darba tiesiskās attiecības ar projekta vadības un īstenošanas personālu vai piesaista pakalpojumu sniedzēju šo noteikumu 26.3. apakšpunktā minētajā kārtībā. Civildienesta vai darba tiesisko attiecību gadījumā, paredzot atlīdzības izmaksas, nodrošina, ka personālu nodarbina normālu vai nepilnu darba laiku, tai skaitā atlīdzībai var piemērot daļlaika izmaksu attiecināmības principu. Ja personāla atlīdzībai piemēro daļlaika izmaksu attiecināmības principu, veic personāla darba laika uzskaiti par nostrādāto laiku un veiktajām funkcijām;".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26.2.2.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"26.2.2. parakstījuši apliecinājumus par interešu konflikta neesību saskaņā ar Eiropas Parlamenta un Padomes 2024. gada 23. septembra Regulas (ES, </w:t>
      </w:r>
      <w:r w:rsidR="00000000" w:rsidRPr="00000000" w:rsidDel="00000000">
        <w:rPr>
          <w:i w:val="1"/>
          <w:rtl w:val="0"/>
        </w:rPr>
        <w:t xml:space="preserve">Euratom</w:t>
      </w:r>
      <w:r w:rsidR="00000000" w:rsidRPr="00000000" w:rsidDel="00000000">
        <w:rPr>
          <w:rtl w:val="0"/>
        </w:rPr>
        <w:t xml:space="preserve">) 2024/2509 par finanšu noteikumiem, ko piemēro Savienības vispārējam budžetam, 61. pantu un publisko iepirkumu regulējošajiem normatīvajiem aktiem;".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26.5.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"26.5. nodrošina, ka projektā plānotās atbalstāmās darbības netiek finansētas, kā arī tās nav plānots finansēt no citiem valsts, pašvaldības vai ārvalstu finanšu atbalsta instrumentiem, un nodrošina dubultā finansējuma neiestāšanos;".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Uzulnieks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25-TA-582</w:t>
    </w:r>
    <w:r>
      <w:br/>
    </w:r>
    <w:r w:rsidR="00000000" w:rsidRPr="00000000" w:rsidDel="00000000">
      <w:rPr>
        <w:rtl w:val="0"/>
      </w:rPr>
      <w:t xml:space="preserve">Izdrukāts 29.07.2026. 23.48 - 1.0.VK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25-TA-582</w:t>
    </w:r>
    <w:r>
      <w:br/>
    </w:r>
    <w:r w:rsidR="00000000" w:rsidRPr="00000000" w:rsidDel="00000000">
      <w:rPr>
        <w:rtl w:val="0"/>
      </w:rPr>
      <w:t xml:space="preserve">Izdrukāts 29.07.2026. 23.48 - 1.0.VK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noteikumu_(grozījumu)_projekts_25-TA-582.docx</dc:title>
</cp:coreProperties>
</file>

<file path=docProps/custom.xml><?xml version="1.0" encoding="utf-8"?>
<Properties xmlns="http://schemas.openxmlformats.org/officeDocument/2006/custom-properties" xmlns:vt="http://schemas.openxmlformats.org/officeDocument/2006/docPropsVTypes"/>
</file>