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24. maija noteikumos Nr. 319 "Kārtība, kādā administrē un uzrauga Eiropas Jūrlietu, zvejniecības un akvakultūras fondu, kā arī valsts atbalstu zvejniecības un akvakultūras attīstībai 2021.–2027. gada plānošanas periodā" (Latvijas Vēstnesis, 2022,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Lēmumu pieņemšanai par atbalstāmajām darbībām un to īstenošanai nepieciešamo līdzekļu piešķiršanu no Programmas zivsaimniecības attīstībai 2021.–2027. gadam (turpmāk – Programma) finansējuma tehniskajai palīdzībai, kā arī piešķirtā finansējuma izlietojuma uzraudzībai Zemkopības ministrija izveido koleģiālu institūciju – Tehniskās palīdzības komisiju. Fonda tehniskās palīdzības finansējumu piešķir darbībām, ko īsteno no 2022. gada 1. janvāra.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Valsts kancelejas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Atbalsta saņēmēja pienākums ir šo noteikumu 25. punktā minētajā lēmumā noteiktajā termiņā atmaksāt neatbilstošos izdevumus un nokavējuma naudu Lauku atbalsta dienesta norādītajā kontā. Ja atbalsta saņēmējs, kas nav budžeta iestāde, neatmaksā neatbilstošos izdevumus Lauku atbalsta dienesta lēmumā noteiktajā termiņā, atbalsta saņēmējs par katru nokavējuma dienu maksā nokavējuma naudu – sešus procentus gadā no neatmaksātās summas. Lauku atbalsta dienests vispirms atgūst neatbilstošo izdevumu pamatsummu un pēc tam nokavējuma naudu. Lauku atbalsta dienests neatbilstošos izdevumus ir tiesīgs ieturēt no jebkuriem Lauku atbalsta dienesta administrētajiem nākamajiem atbalsta maksājumiem atbalsta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Lauku atbalsta dienestam ir tiesības atgūtos neatbilstošos izdevumus par kārtējo gadu atkārtoti izmantot fonda izmaksām citiem atbalsta saņēmējiem. Summu, kas atgūta par iepriekšējo gadu neatbilstošajiem izdevumiem, Lauku atbalsta dienests pārskaita valsts budžeta ieņēmumos."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23-TA-1224</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23-TA-1224</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noteikumu_(grozījumu)_projekts_23-TA-1224.docx</dc:title>
</cp:coreProperties>
</file>

<file path=docProps/custom.xml><?xml version="1.0" encoding="utf-8"?>
<Properties xmlns="http://schemas.openxmlformats.org/officeDocument/2006/custom-properties" xmlns:vt="http://schemas.openxmlformats.org/officeDocument/2006/docPropsVTypes"/>
</file>