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887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53 161.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18. februāra noteikumos Nr. 103 "Kadastrālās vērtēšanas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kadastra likuma</w:t>
      </w:r>
      <w:r w:rsidR="00000000" w:rsidRPr="00000000" w:rsidDel="00000000">
        <w:rPr>
          <w:rStyle w:val="paragraph"/>
          <w:i w:val="1"/>
          <w:rtl w:val="0"/>
        </w:rPr>
        <w:t xml:space="preserve"> 66. panta trešo daļu un pārejas noteikumu 43.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un 53.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2020. gada 18. februāra noteikumos Nr. 103 "Kadastrālās vērtēšanas noteikumi" (Latvijas Vēstnesis, 2020, 36. nr.; 2021,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Nekustamā īpašuma valsts kadastra likuma 66. panta trešo daļu un pārejas noteikumu 43.</w:t>
      </w:r>
      <w:r w:rsidR="00000000" w:rsidRPr="00000000" w:rsidDel="00000000">
        <w:rPr>
          <w:vertAlign w:val="superscript"/>
          <w:rtl w:val="0"/>
        </w:rPr>
        <w:t xml:space="preserve">4</w:t>
      </w:r>
      <w:r w:rsidR="00000000" w:rsidRPr="00000000" w:rsidDel="00000000">
        <w:rPr>
          <w:rtl w:val="0"/>
        </w:rPr>
        <w:t xml:space="preserve"> un 53.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bāzes vērtība – viena kvadrātmetra vērtība, kas noteikta atbilstoši nekustamā īpašuma tirgus darījumiem nekustamā īpašuma grupai attiecīgajā vērtību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Nekustamā īpašuma grupēšana saskaņā ar šo noteikumu 11. pielikumu tiek veikta atbilstoši normatīvajos aktos noteikto būvju un nekustamā īpašuma lietošanas mērķu (turpmāk – lietošanas mērķis) klasifikācijai, ievērojot vispārējās ekonomiskās darbības klasifikācijā piemēroto iedalījumu, kā arī ņemot vērā nekustamā īpašuma tirgus vērtību veidojošos faktorus un nekustamo īpašumu ekonomisko būtību. Nekustamā īpašuma tirgus darījumus, cenu līmeņus un izmaiņu tendences analizē, ievērojot šo noteikumu 11. pielikumā noteikto nekustamo īpašumu grupējumu. Nekustamo īpašumu grupējumu, analizējot nekustamā īpašuma tirgus informāciju, pārbauda ne retāk kā divu kadastrālo vērtību bāzes izstrādes ciklu robežās.";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Kadastrālo vērtību aprēķina atsevišķi zemes vienībai, ēkai, telpu grupai, inženierbūvei un zemes vienības daļai. Zemes kadastrālajā vērtībā neiekļauj mežaudzes vērtību, zemes dzīļu vērtību un inženierbūves vērtību. Būves kadastrālajā vērtībā neiekļauj iekārtu un aprīkojumu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Šajos noteikumos minētos kadastrālās vērtības aprēķina formulās iekļautos korekcijas koeficientus nosaka, analizējot nekustamā īpašuma tirgus informāciju, un noteiktos lielumus pārbauda ne retāk kā divu kadastrālo vērtību bāzes izstrādes ciklu robežās.";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Lai nodrošinātu kadastrālo vērtību vidējo atbilstību 80 % līmenī no nekustamā īpašuma cenu līmeņa, ņemot vērā kadastrālo vērtību bāzes izstrādei noteikto atskaites punktu laikā, kadastrālās vērtības aprēķinā zemes vienībai, ēkai, telpu grupai, inženierbūvei un zemes vienības daļai piemēro koeficientu 0,8.";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Zemes kadastrālās vērtēšanas vajadzībām izmanto normatīvajos aktos noteikto lietošanas mērķu klasifikāciju un zemes iedalījumu zemes lietošanas veidos atbilstoši normatīvajos aktos noteiktajai zemes lietošanas veidu klasifikācijai. Ēku kadastrālajai vērtēšanai izmanto šo noteikumu 1. pielikumā minētās ēku grupas un apakšgrupas.";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Apbūves zemēm visiem lietošanas mērķiem no lietošanas mērķu grupas "Sabiedriskās nozīmes objektu apbūves zeme" vērtību zonā nosaka vienādu bāzes vērtību, izņemot lietošanas mērķus "Kapsētu teritorijas un ar tām saistīto ceremoniālo ēku un krematoriju apbūve", "Ārzemju diplomātisko dienestu, starptautisko sabiedrisko organizāciju pārstāvniecību ēku apbūve" un "Neapgūta sabiedriskās nozīmes objektu apbūves zeme".";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Vērtību zonas numurs ir unikāls. Apbūves vērtību zonējuma zonas numuru veido no zonējuma apzīmējuma koda, administratīvo teritoriju un teritoriālā iedalījuma vienību klasifikācijas koda un vērtību zonas kārtas numura valstspilsētas, novada pilsētas vai novada pagasta teritorijā (turpmāk – pašvaldības teritorija). Lauksaimniecībā izmantojamās zemes un meža zemes vērtību zonējuma zonas numuru veido no zonējuma apzīmējuma koda, administratīvo teritoriju un teritoriālā iedalījuma vienību klasifikācijas koda un vērtību līmeņa grupas kārtas numura.";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Lauksaimniecībā izmantojamās zemes un meža zemes vērtību zonējuma zonu robežas nosaka pa pašvaldības teritorijas robežām, izņemot gadījumu, ja pašvaldības teritorijas robeža starp atšķirīgām vērtību līmeņa teritorijām sadala līdzīgas kvalitātes lauksaimniecībā izmantojamās zemes. Tad vienā pašvaldības teritorijā veido vairākas lauksaimniecībā izmantojamās zemes vērtību zonas, vērtību zonas robežu nosakot pa dabiskām robežšķirtnēm, nepieļaujot zemes vienības sadalīšanu dažādās vērtību zonās. Zemes vienības zem jūras piekrastes ūdeņiem iekļauj attiecīgās piegulošās pašvaldības teritorijas lauksaimniecībā izmantojamās zemes vērtību zonējumā.";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Vērtību zonējuma robeža un zonas numurs ir spēkā līdz jauna vērtību zonējuma spēkā stāšanās brīdim, ja mainās pašvaldības teritorijas robeža vai administratīvo teritoriju un teritoriālā iedalījuma vienību klasifikatora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Kadastrālo vērtību bāzes izstrādei izmanto nekustamā īpašuma tirgus informāciju, kas atbilst vai ir koriģēta atbilstoši kadastrālo vērtību bāzes izstrādei noteiktajam atskaites punktam laikā (1. jūlijs – divarpus gadus pirms kadastrālo vērtību bāzes piemērošanas kadastrālo vērtību aprēķinam). Apstiprinot kadastrālo vērtību bāzi, norāda konkrēto atskaites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Laika ietekmi pārbauda ar hipotēzi par kadastrālo vērtību pret nekustamā īpašuma darījumu cenu attiecību izmaiņām atkarībā no laika ar statistisko pārbaudi nozīmības līmenim α=0,05. Ja laika ietekme ir statistiski nozīmīga, datu analīzē lieto laika korekciju. Laika korekcijas atskaites periodam izmanto vismaz četru mēnešu darījumus līdz kadastrālo vērtību bāzes izstrādei noteiktajam atskaites punktam. Laika korekcijas atskaites periodam lieto koeficientu "1".";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Bāzes vērtību noteikšanai izmanto pirkuma darījumus, kas atbilst Latvijas īpašuma vērtēšanas standartos noteiktās  tirgus vērtības definīcijas elementiem (turpmāk – raksturīgi darījumi). Neizmanto pirkuma darījumus ar analīzes procesā konstatētām papildu saistībām – darījumus starp savstarpēji saistītiem dalībniekiem, piespiedu atsavināšanu, darījumus ar situācijai apvidū neatbilstošiem Kadastra informācijas sistēmā reģistrētiem datiem, kā arī konkrētajā vai attiecīgajā datu kopā pirkuma darījumus ar ekstrēmām (galējām) darījumu summām vai vienas vienības cenām. Valsts zemes dienests publicē savā tīmekļvietnē raksturīgo darījumu atlases analīzes metodiku. Attiecīgā perioda kadastrālo vērtību bāzes izstrādē izmantota raksturīga darījuma pazīmi publicē Latvijas Atvērto datu portālā pie konkrētā darījuma.";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Bāzes vērtību izstrādes procesā teritoriālā griezumā nekustamo īpašumu grupām nosaka tirgus rajonus, kuros nekustamā īpašuma tirgus rādītāji ir savstarpēji salīdzināmi un līdzvērtīgi. Katrā tirgus rajonā nosaka vērtību līmeni – konkrētas nekustamo īpašumu grupas vidējo vienas vienības cenu līmeni. Tirgus rajonus nosaka, kompleksi analizējot: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 attiecīgajai nekustamā īpašuma grupai atbilstošo vidējo vienas vienības cenu līmeni pa nekustamo īpašumu grupām dažādos teritoriālos griezumos;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 attiecīgās nekustamā īpašuma grupas zemes cenu līmeņus;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 attiecīgās nekustamā īpašuma grupas būvju cenu līmeņus;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 attiecīgās nekustamo īpašumu grupas objektu vērtību ietekmējošos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Uzsākot kadastrālo vērtību bāzes izstrādes ciklu, Valsts zemes dienests izpēta, kā savstarpēji proporcionāli salīdzinās nekustamie īpašumi ar dažādiem izmantošanas vērtību līmeņiem. Izpēti veic visā valsts teritorijā. Analīzē noteiktās likumsakarības izmanto kadastrālo vērtību bāzes pamatošanai un publicē kadastrālo vērtību bāzes pārskatā.";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34.1.4.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"34.1.4. pārskatu par kadastrālo vērtību bāzes izstrādi, ietverot tajā savrupmāju apbūves teritorijās izvērtēto procentuālo zemes un ēku sadalījumu kopējā īpašuma vērtībā pa teritoriju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papildināt ar 34.1.6.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"34.1.6. pārskata kartes par viena kvadrātmetra projektēto kadastrālo vērtību un galvenajiem objekta vērtību ietekmējošiem rādītājiem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34.2.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pēc tam kad Ministru kabinetā tiek apstiprināts noteikumu projekts par kadastrālo vērtību bāzi, savā tīmekļvietnē publicē: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34.2.1. apstiprināto kadastrālo vērtību bāzi – vērtību zonējumus un kadastrālo vērtību bāzes rādītājus;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34.2.2. prognozētās kadastrālās vērtības visiem kadastra objektiem pēc datu stāvokļa Kadastra informācijas sistēmā uz attiecīgā gada 1. jūniju;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34.2.3. pārskata kartes par viena kvadrātmetra prognozēto kadastrālo vērtību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Valsts zemes dienests savā tīmekļvietnē  publicē pārskata kartes par viena kvadrātmetra kadastrālajām vērtībām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Pārskata kartēs par viena kvadrātmetra projektēto kadastrālo vērtību, prognozēto kadastrālo vērtību un kadastrālo vērtību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 zemes vienībai – kadastrālā vērtība, viena kvadrātmetra vērtība, kopplatība, lietošanas mērķis, tā platība un bāzes vērtība, pazīme par apgrūtinājumiem, kas ietekmē kadastrālo vērtību, apbūves zemei – platības korekcijas koeficients, lauku zemei – dzīvojamās mājas esība, lauksaimniecībā izmantojamās un meža zemes novērtējums, izmantošana, apgrūtinājumi;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2. ēkai – kadastrālā vērtība, viena kvadrātmetra vērtība, bāzes vērtība, kopplatība, galvenais lietošanas veids, ēkas tips, būvniecības periods, nolietojums, apjoms, izmantošana, apjoma korekcijas koeficients, kultūrvēsturiskais apgrūtinājums, labiekārtojumi;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3. nekustamajam īpašumam, kas sastāv no vienas apbūvētas zemes vienības, uz kuras atrodas nekustamajā īpašumā ietilpstošās ēkas, – kadastrālā vērtība, viena kvadrātmetra vērtība (nekustamā īpašuma kopējā vērtība dalīta ar visu ēku kopējo platību), ēku kopējā platība un kadastrālā vērtība, zemes vienības kopplatība un kadastrālā vērtība un zemes un ēku kadastrālo vērtību īpatsvars nekustamajā īpašumā.";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Valsts zemes dienests pēc kadastrālo vērtību bāzes izstrādes analizē konstatētās problēmas,  neatbilstības, ko nav iespējams novērst ar kadastrālo vērtību bāzi bez aprēķina modeļu pilnveidošanas, turpmākās izpētes un nepieciešamās izmaiņas normatīvajos aktos.";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Ja zeme ar kādu konkrētu lietošanas mērķi reti nonāk nekustamā īpašuma tirgū, lietošanas mērķa bāzes vērtību nosaka, ievērojot vērtību attiecību ar lietošanas mērķi, par kuru ir vairāk nekustamā īpašuma tirgus informācijas. Savstarpējās dažādo lietošanas mērķu vērtību attiecību likumsakarības analizē katram kadastrālo vērtību bāzes izstrādes periodam un publicē attiecīgā gada kadastrālo vērtību bāzes pārskatā.";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Ēkas labiekārtojumu, ja veikta pilna kadastrālā uzmērīšana, novērtē savrupmājām un šo noteikumu 114.2. apakšpunktā minēto daudzfunkcionālo ēku telpu grupām, ievērojot Kadastra informācijas sistēmā reģistrētos labiekārtojuma veidus: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68.1. elektroapgāde ir, ja ir reģistrēts labiekārtojums "Elektroapgāde";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68.2. apkure ir, ja ir reģistrēts labiekārtojums "Apkure" vai "Apkure. Centralizētā", vai "Apkure. Centrālā". Ja reģistrēts tikai labiekārtojums "Apkure. Vietējā", uzskata, ka labiekārtojuma nav;</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68.3. kanalizācija ir, ja ir reģistrēts labiekārtojums "Kanalizācija" vai "Kanalizācija. Centralizētā", vai "Kanalizācija. Individuālā", vai "Kanalizācija. Lokālā". Ja reģistrēts tikai labiekārtojums "Kanalizācija. Lietus ūdens" vai "Kanalizācija. Tehnoloģiskā", uzskata, ka labiekārtojuma nav;</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68.4. sanitārais mezgls ir, ja ir reģistrēta telpa, kuras nosaukums ietver nozīmi "Tualete" vai "Vanna (duša)", vai labiekārtojums "Citi, iepriekš neklasificēti labiekārtojumi. Pods, pisuārs, bidē".";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69.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Nekustamā īpašuma darījuma sastāvā esošo ēku vienas vienības cenu līmeni aprēķina darījumiem, kuros ir viena ēka, neskaitot palīgēkas, ēkas nolietojuma grupa nav "V4" vai "V5" un zemes platība ir samērīga: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69.1. no darījuma kopējās summas atņemot zemes vērtību un pieņemot, ka summas sadalījums starp ēku un palīgēkām ir tieši proporcionāls ēku kadastrālo vērtību attiecībām;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 ēkas cenu līmeni dalot ar ēkas attiecīgo apjoma 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Būves nolietojuma korekcijas koeficientu K</w:t>
      </w:r>
      <w:r w:rsidR="00000000" w:rsidRPr="00000000" w:rsidDel="00000000">
        <w:rPr>
          <w:vertAlign w:val="subscript"/>
          <w:rtl w:val="0"/>
        </w:rPr>
        <w:t xml:space="preserve">s</w:t>
      </w:r>
      <w:r w:rsidR="00000000" w:rsidRPr="00000000" w:rsidDel="00000000">
        <w:rPr>
          <w:rtl w:val="0"/>
        </w:rPr>
        <w:t xml:space="preserve"> ēkām nosaka, analizējot nekustamā īpašuma tirgus informāciju un izvērtējot vienas vienības cenas izmaiņas atkarībā no ēkas nolietojuma grupas (6.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Ēkas būvniecības perioda ietekmes korekcijas koeficientu nosaka, analizējot nekustamā īpašuma tirgus informāciju un izvērtējot vienas vienības cenas izmaiņas atkarībā no būvniecības perioda, ievērojot ēku grupas un ņemot vērā ēkas nolietojuma grupu. Būvniecības periodiem līdz 1990. gadam būvniecības ietekmes korekcijas koeficients noteikts šo noteikumu 5. pielikumā. Būvniecības periodiem, sākot ar 1991. gadu, būvniecības ietekmes korekcijas koeficientu nosaka pa vērtību zonām un apstiprina kopā ar kadastrālo vērtību bāzi.";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Ēkām apgrūtinājumus atbilstoši lietošanas tiesību aprobežojumu vai saimnieciskās darbības ierobežojumu ietekmei nosaka, analizējot nekustamā īpašuma tirgus informāciju un izvērtējot vienas vienības cenas savstarpējo sakarību starp ēku bez lietošanas ierobežojumiem un ēku ar lietošanas ierobežojumiem. Ēkai, kas reģistrēta kā valsts, reģionālas vai vietējas nozīmes kultūras piemineklis un kurai nolietojuma grupa ir "V4" vai "V5", un inženierbūvei, kurai nolietojums lielāks par 35 %, kadastrālo vērtību samazina par 35 %.";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papildināt ar 72.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Ēkām, kas reti nonāk nekustamā īpašuma tirgū, bāzes vērtību nosaka, salīdzinot savstarpējo proporcionālo atbilstību ar tām ēku apakšgrupām, kur ir pirkuma darījumi un bāzes vērtību iespējams noteikt ar tirgus salīdzināmo darījumu pieeju, to koriģējot atbilstoši izmaksu pieejai, analizējot būvniecības izmaksu savstarpējās attiecības un būvniecības izmaksu un nekustamā īpašuma vidējā tirgus cenu līmeņa attiecību nekustamo īpašumu grupās dažādos teritoriālos griezumos iegūtajās proporcijās starp grupām. Bāzes vērtības pārbauda, aprēķinot ēku kadastrālo vērtību un to salīdzinot ar pirkuma darījumiem vai ar vērtībām, ko iegūst, izmantojot nomas informāciju (ienākumu pieeju – tiešās kapitalizācijas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Apgrūtinājumus zemes vienībai un zemes vienības daļai, ņemot vērā Apgrūtināto teritoriju informācijas sistēmā reģistrētās apgrūtinātās teritorijas un Kadastra informācijas sistēmā reģistrētos apgrūtinājumus, izvērtē atbilstoši šo noteikumu 3. pielikumam proporcionāli apgrūtinājumu aizņemtajai platībai, kas noteikta, ņemot vērā savstarpējo pārklāšanos, samazinot apgrūtinātās platības vērtību par 45 %. Zemes kadastrālās vērtības aprēķinā izvērtējamo kopējo apgrūtināto platību zemes vienībā un zemes vienības daļā  lauku zemei, dzīvojamās apbūves zemei un pārējās apbūves zemei reģistrē Kadastra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Kadastrālo vērtību apbūves zemei un lauku zemei pilsētās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Kv = (Σ (Bv × P</w:t>
      </w:r>
      <w:r w:rsidR="00000000" w:rsidRPr="00000000" w:rsidDel="00000000">
        <w:rPr>
          <w:i w:val="1"/>
          <w:vertAlign w:val="subscript"/>
          <w:rtl w:val="0"/>
        </w:rPr>
        <w:t xml:space="preserve">LM</w:t>
      </w:r>
      <w:r w:rsidR="00000000" w:rsidRPr="00000000" w:rsidDel="00000000">
        <w:rPr>
          <w:i w:val="1"/>
          <w:rtl w:val="0"/>
        </w:rPr>
        <w:t xml:space="preserve"> × K</w:t>
      </w:r>
      <w:r w:rsidR="00000000" w:rsidRPr="00000000" w:rsidDel="00000000">
        <w:rPr>
          <w:i w:val="1"/>
          <w:vertAlign w:val="subscript"/>
          <w:rtl w:val="0"/>
        </w:rPr>
        <w:t xml:space="preserve">samaz</w:t>
      </w:r>
      <w:r w:rsidR="00000000" w:rsidRPr="00000000" w:rsidDel="00000000">
        <w:rPr>
          <w:i w:val="1"/>
          <w:rtl w:val="0"/>
        </w:rPr>
        <w:t xml:space="preserve">× K</w:t>
      </w:r>
      <w:r w:rsidR="00000000" w:rsidRPr="00000000" w:rsidDel="00000000">
        <w:rPr>
          <w:i w:val="1"/>
          <w:vertAlign w:val="subscript"/>
          <w:rtl w:val="0"/>
        </w:rPr>
        <w:t xml:space="preserve">apgr</w:t>
      </w:r>
      <w:r w:rsidR="00000000" w:rsidRPr="00000000" w:rsidDel="00000000">
        <w:rPr>
          <w:i w:val="1"/>
          <w:rtl w:val="0"/>
        </w:rPr>
        <w:t xml:space="preserve">))×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 – zemes bāzes vērtība lietošanas mērķim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atbilstoši lietošanas mērķim;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103.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Lauku apvidū lauku zemes kadastrālo vērtību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Kv</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rtl w:val="0"/>
        </w:rPr>
        <w:t xml:space="preserve"> </w:t>
      </w:r>
      <w:r w:rsidR="00000000" w:rsidRPr="00000000" w:rsidDel="00000000">
        <w:rPr>
          <w:i w:val="1"/>
          <w:rtl w:val="0"/>
        </w:rPr>
        <w:t xml:space="preserve">vai</w:t>
      </w:r>
      <w:r w:rsidR="00000000" w:rsidRPr="00000000" w:rsidDel="00000000">
        <w:rPr>
          <w:rtl w:val="0"/>
        </w:rPr>
        <w:t xml:space="preserve">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w:t>
      </w:r>
      <w:r w:rsidR="00000000" w:rsidRPr="00000000" w:rsidDel="00000000">
        <w:rPr>
          <w:i w:val="1"/>
          <w:vertAlign w:val="subscript"/>
          <w:rtl w:val="0"/>
        </w:rPr>
        <w:t xml:space="preserve">_III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w:t>
      </w:r>
      <w:r w:rsidR="00000000" w:rsidRPr="00000000" w:rsidDel="00000000">
        <w:rPr>
          <w:i w:val="1"/>
          <w:rtl w:val="0"/>
        </w:rPr>
        <w:t xml:space="preserve">_</w:t>
      </w:r>
      <w:r w:rsidR="00000000" w:rsidRPr="00000000" w:rsidDel="00000000">
        <w:rPr>
          <w:i w:val="1"/>
          <w:vertAlign w:val="subscript"/>
          <w:rtl w:val="0"/>
        </w:rPr>
        <w:t xml:space="preserve">D</w:t>
      </w:r>
      <w:r w:rsidR="00000000" w:rsidRPr="00000000" w:rsidDel="00000000">
        <w:rPr>
          <w:i w:val="1"/>
          <w:rtl w:val="0"/>
        </w:rPr>
        <w:t xml:space="preserve"> ×Bv</w:t>
      </w:r>
      <w:r w:rsidR="00000000" w:rsidRPr="00000000" w:rsidDel="00000000">
        <w:rPr>
          <w:i w:val="1"/>
          <w:vertAlign w:val="subscript"/>
          <w:rtl w:val="0"/>
        </w:rPr>
        <w:t xml:space="preserve">LIZ</w:t>
      </w:r>
      <w:r w:rsidR="00000000" w:rsidRPr="00000000" w:rsidDel="00000000">
        <w:rPr>
          <w:i w:val="1"/>
          <w:vertAlign w:val="subscript"/>
          <w:rtl w:val="0"/>
        </w:rPr>
        <w:t xml:space="preserve">_III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w:t>
      </w:r>
      <w:r w:rsidR="00000000" w:rsidRPr="00000000" w:rsidDel="00000000">
        <w:rPr>
          <w:i w:val="1"/>
          <w:vertAlign w:val="subscript"/>
          <w:rtl w:val="0"/>
        </w:rPr>
        <w:t xml:space="preserve">_P</w:t>
      </w:r>
      <w:r w:rsidR="00000000" w:rsidRPr="00000000" w:rsidDel="00000000">
        <w:rPr>
          <w:rtl w:val="0"/>
        </w:rPr>
        <w:t xml:space="preserve">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i w:val="1"/>
          <w:vertAlign w:val="subscript"/>
          <w:rtl w:val="0"/>
        </w:rPr>
        <w:t xml:space="preserve">_IV</w:t>
      </w:r>
      <w:r w:rsidR="00000000" w:rsidRPr="00000000" w:rsidDel="00000000">
        <w:rPr>
          <w:i w:val="1"/>
          <w:rtl w:val="0"/>
        </w:rPr>
        <w:t xml:space="preserve"> + P</w:t>
      </w:r>
      <w:r w:rsidR="00000000" w:rsidRPr="00000000" w:rsidDel="00000000">
        <w:rPr>
          <w:i w:val="1"/>
          <w:vertAlign w:val="subscript"/>
          <w:rtl w:val="0"/>
        </w:rPr>
        <w:t xml:space="preserve">PZ</w:t>
      </w:r>
      <w:r w:rsidR="00000000" w:rsidRPr="00000000" w:rsidDel="00000000">
        <w:rPr>
          <w:rtl w:val="0"/>
        </w:rPr>
        <w:t xml:space="preserve"> × 0,8 ×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i w:val="1"/>
          <w:vertAlign w:val="subscript"/>
          <w:rtl w:val="0"/>
        </w:rPr>
        <w:t xml:space="preserve">_I</w:t>
      </w:r>
      <w:r w:rsidR="00000000" w:rsidRPr="00000000" w:rsidDel="00000000">
        <w:rPr>
          <w:rtl w:val="0"/>
        </w:rPr>
        <w:t xml:space="preserve"> + </w:t>
      </w:r>
      <w:r w:rsidR="00000000" w:rsidRPr="00000000" w:rsidDel="00000000">
        <w:rPr>
          <w:i w:val="1"/>
          <w:rtl w:val="0"/>
        </w:rPr>
        <w:t xml:space="preserve">C</w:t>
      </w:r>
      <w:r w:rsidR="00000000" w:rsidRPr="00000000" w:rsidDel="00000000">
        <w:rPr>
          <w:i w:val="1"/>
          <w:vertAlign w:val="subscript"/>
          <w:rtl w:val="0"/>
        </w:rPr>
        <w:t xml:space="preserve">maja</w:t>
      </w:r>
      <w:r w:rsidR="00000000" w:rsidRPr="00000000" w:rsidDel="00000000">
        <w:rPr>
          <w:rtl w:val="0"/>
        </w:rPr>
        <w:t xml:space="preserve"> ) × </w:t>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LIZ</w:t>
      </w:r>
      <w:r w:rsidR="00000000" w:rsidRPr="00000000" w:rsidDel="00000000">
        <w:rPr>
          <w:rtl w:val="0"/>
        </w:rPr>
        <w:t xml:space="preserve"> – lauksaimniecībā izmantojamās zemes platība hektāros;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rtl w:val="0"/>
        </w:rPr>
        <w:t xml:space="preserve"> – lauksaimniecībā izmantojamās zemes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 kas aprēķināta, ņemot vērā mežaudzei noteiktos saimnieciskās darbības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w:t>
      </w:r>
      <w:r w:rsidR="00000000" w:rsidRPr="00000000" w:rsidDel="00000000">
        <w:rPr>
          <w:vertAlign w:val="subscript"/>
          <w:rtl w:val="0"/>
        </w:rPr>
        <w:t xml:space="preserve">_III</w:t>
      </w:r>
      <w:r w:rsidR="00000000" w:rsidRPr="00000000" w:rsidDel="00000000">
        <w:rPr>
          <w:rtl w:val="0"/>
        </w:rPr>
        <w:t xml:space="preserve"> – meža zemes III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vertAlign w:val="subscript"/>
          <w:rtl w:val="0"/>
        </w:rPr>
        <w:t xml:space="preserve">_D</w:t>
      </w:r>
      <w:r w:rsidR="00000000" w:rsidRPr="00000000" w:rsidDel="00000000">
        <w:rPr>
          <w:rtl w:val="0"/>
        </w:rPr>
        <w:t xml:space="preserve"> – zemes platība zem zivju dīķiem hektāros;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_III</w:t>
      </w:r>
      <w:r w:rsidR="00000000" w:rsidRPr="00000000" w:rsidDel="00000000">
        <w:rPr>
          <w:rtl w:val="0"/>
        </w:rPr>
        <w:t xml:space="preserve"> – lauksaimniecībā izmantojamās zemes III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vertAlign w:val="subscript"/>
          <w:rtl w:val="0"/>
        </w:rPr>
        <w:t xml:space="preserve">_P</w:t>
      </w:r>
      <w:r w:rsidR="00000000" w:rsidRPr="00000000" w:rsidDel="00000000">
        <w:rPr>
          <w:rtl w:val="0"/>
        </w:rPr>
        <w:t xml:space="preserve"> – zemes platība zem ēkām un pagalmiem hektāros;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_IV</w:t>
      </w:r>
      <w:r w:rsidR="00000000" w:rsidRPr="00000000" w:rsidDel="00000000">
        <w:rPr>
          <w:rtl w:val="0"/>
        </w:rPr>
        <w:t xml:space="preserve"> – lauksaimniecībā izmantojamās zemes IV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PZ</w:t>
      </w:r>
      <w:r w:rsidR="00000000" w:rsidRPr="00000000" w:rsidDel="00000000">
        <w:rPr>
          <w:rtl w:val="0"/>
        </w:rPr>
        <w:t xml:space="preserve"> – pārējo zemju platība hektāros;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w:t>
      </w:r>
      <w:r w:rsidR="00000000" w:rsidRPr="00000000" w:rsidDel="00000000">
        <w:rPr>
          <w:rtl w:val="0"/>
        </w:rPr>
        <w:t xml:space="preserve"> – lauksaimniecībā izmantojamās zemes 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maja</w:t>
      </w:r>
      <w:r w:rsidR="00000000" w:rsidRPr="00000000" w:rsidDel="00000000">
        <w:rPr>
          <w:rtl w:val="0"/>
        </w:rPr>
        <w:t xml:space="preserve"> – dzīvojamās mājas ietekmes konstante;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Ja no Valsts meža dienesta nav saņemta informācija par meža zemes kvalitātes novērtējumu, meža zemei nosaka III kvalitātes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izteikt 115.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Vērtējamai ēkai būves nolietojuma korekcijas koeficientu (K</w:t>
      </w:r>
      <w:r w:rsidR="00000000" w:rsidRPr="00000000" w:rsidDel="00000000">
        <w:rPr>
          <w:vertAlign w:val="subscript"/>
          <w:rtl w:val="0"/>
        </w:rPr>
        <w:t xml:space="preserve">s</w:t>
      </w:r>
      <w:r w:rsidR="00000000" w:rsidRPr="00000000" w:rsidDel="00000000">
        <w:rPr>
          <w:rtl w:val="0"/>
        </w:rPr>
        <w:t xml:space="preserve">) piemēro, izmantojot Kadastra informācijas sistēmā fiksēto vērtējamās ēkas nolietojuma grupu un tai atbilstošo būves nolietojuma korekcijas koeficientu (6.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izteikt 116.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Vērtējamai ēkai būvniecības perioda ietekmes korekcijas koeficientu (K</w:t>
      </w:r>
      <w:r w:rsidR="00000000" w:rsidRPr="00000000" w:rsidDel="00000000">
        <w:rPr>
          <w:vertAlign w:val="subscript"/>
          <w:rtl w:val="0"/>
        </w:rPr>
        <w:t xml:space="preserve">bp</w:t>
      </w:r>
      <w:r w:rsidR="00000000" w:rsidRPr="00000000" w:rsidDel="00000000">
        <w:rPr>
          <w:rtl w:val="0"/>
        </w:rPr>
        <w:t xml:space="preserve">) nosaka, izmantojot Kadastra informācijas sistēmā fiksēto vērtējamās ēkas būvniecības periodu un tam atbilstošo ēkas būvniecības perioda koeficientu, ievērojot ēkas vērtēšanas modeli, ēkas apakšgrupu un ēkas nolietojuma grupu (5.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izteikt 119.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 Būves apgrūtinājumu korekcijas koeficientu K</w:t>
      </w:r>
      <w:r w:rsidR="00000000" w:rsidRPr="00000000" w:rsidDel="00000000">
        <w:rPr>
          <w:vertAlign w:val="subscript"/>
          <w:rtl w:val="0"/>
        </w:rPr>
        <w:t xml:space="preserve">li</w:t>
      </w:r>
      <w:r w:rsidR="00000000" w:rsidRPr="00000000" w:rsidDel="00000000">
        <w:rPr>
          <w:rtl w:val="0"/>
        </w:rPr>
        <w:t xml:space="preserve"> = 0,65 piemēro būvei, kurai Kadastra informācijas sistēmā atbilstoši Nacionālās kultūras mantojuma pārvaldes sniegtajām ziņām reģistrēts apgrūtinājums, kas atbilst valsts, reģionālas vai vietējas nozīmes kultūras pieminekļa statusam, un kurai Kadastra informācijas sistēmā reģistrētais inženierbūves nolietojums ir lielāks par 35 % vai ēkai reģistrētā nolietojuma grupa ir "V4" vai "V5".";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izteikt 122.3.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"122.3. ēkas nolietojuma grupa;";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izteikt 125.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Savrupmājas kadastrālo vērtību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Ē</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K</w:t>
      </w:r>
      <w:r w:rsidR="00000000" w:rsidRPr="00000000" w:rsidDel="00000000">
        <w:rPr>
          <w:vertAlign w:val="subscript"/>
          <w:rtl w:val="0"/>
        </w:rPr>
        <w:t xml:space="preserve">kor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i w:val="1"/>
          <w:rtl w:val="0"/>
        </w:rPr>
        <w:t xml:space="preserve"> × </w:t>
      </w:r>
      <w:r w:rsidR="00000000" w:rsidRPr="00000000" w:rsidDel="00000000">
        <w:rPr>
          <w:i w:val="1"/>
          <w:rtl w:val="0"/>
        </w:rPr>
        <w:t xml:space="preserve">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papildināt ar 126.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vertAlign w:val="superscript"/>
          <w:rtl w:val="0"/>
        </w:rPr>
        <w:t xml:space="preserve">1</w:t>
      </w:r>
      <w:r w:rsidR="00000000" w:rsidRPr="00000000" w:rsidDel="00000000">
        <w:rPr>
          <w:rtl w:val="0"/>
        </w:rPr>
        <w:t xml:space="preserve"> Apjoma ietekmes korekcijas koeficientu K</w:t>
      </w:r>
      <w:r w:rsidR="00000000" w:rsidRPr="00000000" w:rsidDel="00000000">
        <w:rPr>
          <w:vertAlign w:val="subscript"/>
          <w:rtl w:val="0"/>
        </w:rPr>
        <w:t xml:space="preserve">kor</w:t>
      </w:r>
      <w:r w:rsidR="00000000" w:rsidRPr="00000000" w:rsidDel="00000000">
        <w:rPr>
          <w:rtl w:val="0"/>
        </w:rPr>
        <w:t xml:space="preserve"> savrupmājām, kas pēc apjoma pārsniedz standartapjomu,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K</w:t>
      </w:r>
      <w:r w:rsidR="00000000" w:rsidRPr="00000000" w:rsidDel="00000000">
        <w:rPr>
          <w:vertAlign w:val="subscript"/>
          <w:rtl w:val="0"/>
        </w:rPr>
        <w:t xml:space="preserve">kor</w:t>
      </w:r>
      <w:r w:rsidR="00000000" w:rsidRPr="00000000" w:rsidDel="00000000">
        <w:rPr>
          <w:rtl w:val="0"/>
        </w:rPr>
        <w:t xml:space="preserve">= (A</w:t>
      </w:r>
      <w:r w:rsidR="00000000" w:rsidRPr="00000000" w:rsidDel="00000000">
        <w:rPr>
          <w:vertAlign w:val="subscript"/>
          <w:rtl w:val="0"/>
        </w:rPr>
        <w:t xml:space="preserve">st</w:t>
      </w:r>
      <w:r w:rsidR="00000000" w:rsidRPr="00000000" w:rsidDel="00000000">
        <w:rPr>
          <w:rtl w:val="0"/>
        </w:rPr>
        <w:t xml:space="preserve"> + (A – A</w:t>
      </w:r>
      <w:r w:rsidR="00000000" w:rsidRPr="00000000" w:rsidDel="00000000">
        <w:rPr>
          <w:vertAlign w:val="subscript"/>
          <w:rtl w:val="0"/>
        </w:rPr>
        <w:t xml:space="preserve">st</w:t>
      </w:r>
      <w:r w:rsidR="00000000" w:rsidRPr="00000000" w:rsidDel="00000000">
        <w:rPr>
          <w:rtl w:val="0"/>
        </w:rPr>
        <w:t xml:space="preserve">) × K</w:t>
      </w:r>
      <w:r w:rsidR="00000000" w:rsidRPr="00000000" w:rsidDel="00000000">
        <w:rPr>
          <w:vertAlign w:val="subscript"/>
          <w:rtl w:val="0"/>
        </w:rPr>
        <w:t xml:space="preserve">apj</w:t>
      </w:r>
      <w:r w:rsidR="00000000" w:rsidRPr="00000000" w:rsidDel="00000000">
        <w:rPr>
          <w:rtl w:val="0"/>
        </w:rPr>
        <w:t xml:space="preserve">)/A,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ēkas apjoma rādītāja lielums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ēkas standartapjoms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izteikt 130.1.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"130.1. ēkas nolietojuma grupa;";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izteikt 136.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Telpu grupas kadastrālo vērtību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TG</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K</w:t>
      </w:r>
      <w:r w:rsidR="00000000" w:rsidRPr="00000000" w:rsidDel="00000000">
        <w:rPr>
          <w:vertAlign w:val="subscript"/>
          <w:rtl w:val="0"/>
        </w:rPr>
        <w:t xml:space="preserve">kor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Bv</w:t>
      </w:r>
      <w:r w:rsidR="00000000" w:rsidRPr="00000000" w:rsidDel="00000000">
        <w:rPr>
          <w:rtl w:val="0"/>
        </w:rPr>
        <w:t xml:space="preserve"> – daudzdzīvokļu mājas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telpu grupas kopējā vai par ārtelpām koriģētā platība;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palīgtelpu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stāva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papildināt ar 137.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Apjoma ietekmes korekcijas koeficientu K</w:t>
      </w:r>
      <w:r w:rsidR="00000000" w:rsidRPr="00000000" w:rsidDel="00000000">
        <w:rPr>
          <w:vertAlign w:val="subscript"/>
          <w:rtl w:val="0"/>
        </w:rPr>
        <w:t xml:space="preserve">kor</w:t>
      </w:r>
      <w:r w:rsidR="00000000" w:rsidRPr="00000000" w:rsidDel="00000000">
        <w:rPr>
          <w:rtl w:val="0"/>
        </w:rPr>
        <w:t xml:space="preserve"> dzīvojamai telpu grupai, kas pēc apjoma pārsniedz standartapjomu,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K</w:t>
      </w:r>
      <w:r w:rsidR="00000000" w:rsidRPr="00000000" w:rsidDel="00000000">
        <w:rPr>
          <w:vertAlign w:val="subscript"/>
          <w:rtl w:val="0"/>
        </w:rPr>
        <w:t xml:space="preserve">kor</w:t>
      </w:r>
      <w:r w:rsidR="00000000" w:rsidRPr="00000000" w:rsidDel="00000000">
        <w:rPr>
          <w:rtl w:val="0"/>
        </w:rPr>
        <w:t xml:space="preserve">= (A</w:t>
      </w:r>
      <w:r w:rsidR="00000000" w:rsidRPr="00000000" w:rsidDel="00000000">
        <w:rPr>
          <w:vertAlign w:val="subscript"/>
          <w:rtl w:val="0"/>
        </w:rPr>
        <w:t xml:space="preserve">st</w:t>
      </w:r>
      <w:r w:rsidR="00000000" w:rsidRPr="00000000" w:rsidDel="00000000">
        <w:rPr>
          <w:rtl w:val="0"/>
        </w:rPr>
        <w:t xml:space="preserve"> + (A – A</w:t>
      </w:r>
      <w:r w:rsidR="00000000" w:rsidRPr="00000000" w:rsidDel="00000000">
        <w:rPr>
          <w:vertAlign w:val="subscript"/>
          <w:rtl w:val="0"/>
        </w:rPr>
        <w:t xml:space="preserve">st</w:t>
      </w:r>
      <w:r w:rsidR="00000000" w:rsidRPr="00000000" w:rsidDel="00000000">
        <w:rPr>
          <w:rtl w:val="0"/>
        </w:rPr>
        <w:t xml:space="preserve">) × K</w:t>
      </w:r>
      <w:r w:rsidR="00000000" w:rsidRPr="00000000" w:rsidDel="00000000">
        <w:rPr>
          <w:vertAlign w:val="subscript"/>
          <w:rtl w:val="0"/>
        </w:rPr>
        <w:t xml:space="preserve">apj</w:t>
      </w:r>
      <w:r w:rsidR="00000000" w:rsidRPr="00000000" w:rsidDel="00000000">
        <w:rPr>
          <w:rtl w:val="0"/>
        </w:rPr>
        <w:t xml:space="preserve">)/A,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dzīvojamās telpu grupas apjoma rādītāja lielums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dzīvojamās telpu grupas standartapjoms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izteikt 143.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Telpu grupai piemēro būves nolietojuma korekcijas koeficientu K</w:t>
      </w:r>
      <w:r w:rsidR="00000000" w:rsidRPr="00000000" w:rsidDel="00000000">
        <w:rPr>
          <w:vertAlign w:val="subscript"/>
          <w:rtl w:val="0"/>
        </w:rPr>
        <w:t xml:space="preserve">s</w:t>
      </w:r>
      <w:r w:rsidR="00000000" w:rsidRPr="00000000" w:rsidDel="00000000">
        <w:rPr>
          <w:rtl w:val="0"/>
        </w:rPr>
        <w:t xml:space="preserve"> atbilstoši ēkas nolietojuma grupai un būvniecības perioda korekcijas koeficientu K</w:t>
      </w:r>
      <w:r w:rsidR="00000000" w:rsidRPr="00000000" w:rsidDel="00000000">
        <w:rPr>
          <w:vertAlign w:val="subscript"/>
          <w:rtl w:val="0"/>
        </w:rPr>
        <w:t xml:space="preserve">bp</w:t>
      </w:r>
      <w:r w:rsidR="00000000" w:rsidRPr="00000000" w:rsidDel="00000000">
        <w:rPr>
          <w:rtl w:val="0"/>
        </w:rPr>
        <w:t xml:space="preserve"> atbilstoši ēkas būvniecības periodam un ēkas nolietojuma grupai.";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izteikt 147.3.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"147.3. ēkas nolietojuma grupa;";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izteikt 150.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 Citai nedzīvojamai ēkai kadastrālo vērtību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i w:val="1"/>
          <w:rtl w:val="0"/>
        </w:rPr>
        <w:t xml:space="preserve"> = Ē</w:t>
      </w:r>
      <w:r w:rsidR="00000000" w:rsidRPr="00000000" w:rsidDel="00000000">
        <w:rPr>
          <w:i w:val="1"/>
          <w:vertAlign w:val="subscript"/>
          <w:rtl w:val="0"/>
        </w:rPr>
        <w:t xml:space="preserve">Bv</w:t>
      </w:r>
      <w:r w:rsidR="00000000" w:rsidRPr="00000000" w:rsidDel="00000000">
        <w:rPr>
          <w:i w:val="1"/>
          <w:rtl w:val="0"/>
        </w:rPr>
        <w:t xml:space="preserve"> × A × K</w:t>
      </w:r>
      <w:r w:rsidR="00000000" w:rsidRPr="00000000" w:rsidDel="00000000">
        <w:rPr>
          <w:i w:val="1"/>
          <w:vertAlign w:val="subscript"/>
          <w:rtl w:val="0"/>
        </w:rPr>
        <w:t xml:space="preserve">kor</w:t>
      </w:r>
      <w:r w:rsidR="00000000" w:rsidRPr="00000000" w:rsidDel="00000000">
        <w:rPr>
          <w:i w:val="1"/>
          <w:rtl w:val="0"/>
        </w:rPr>
        <w:t xml:space="preserve"> × K</w:t>
      </w:r>
      <w:r w:rsidR="00000000" w:rsidRPr="00000000" w:rsidDel="00000000">
        <w:rPr>
          <w:i w:val="1"/>
          <w:vertAlign w:val="subscript"/>
          <w:rtl w:val="0"/>
        </w:rPr>
        <w:t xml:space="preserve">s</w:t>
      </w:r>
      <w:r w:rsidR="00000000" w:rsidRPr="00000000" w:rsidDel="00000000">
        <w:rPr>
          <w:i w:val="1"/>
          <w:rtl w:val="0"/>
        </w:rPr>
        <w:t xml:space="preserve"> × K</w:t>
      </w:r>
      <w:r w:rsidR="00000000" w:rsidRPr="00000000" w:rsidDel="00000000">
        <w:rPr>
          <w:i w:val="1"/>
          <w:vertAlign w:val="subscript"/>
          <w:rtl w:val="0"/>
        </w:rPr>
        <w:t xml:space="preserve">li</w:t>
      </w:r>
      <w:r w:rsidR="00000000" w:rsidRPr="00000000" w:rsidDel="00000000">
        <w:rPr>
          <w:i w:val="1"/>
          <w:rtl w:val="0"/>
        </w:rPr>
        <w:t xml:space="preserve"> × 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ēkai atbilstošā ēkas bāzes vērtība </w:t>
      </w:r>
      <w:r w:rsidR="00000000" w:rsidRPr="00000000" w:rsidDel="00000000">
        <w:rPr>
          <w:i w:val="1"/>
          <w:rtl w:val="0"/>
        </w:rPr>
        <w:t xml:space="preserve">euro</w:t>
      </w:r>
      <w:r w:rsidR="00000000" w:rsidRPr="00000000" w:rsidDel="00000000">
        <w:rPr>
          <w:rtl w:val="0"/>
        </w:rPr>
        <w:t xml:space="preserve"> par apjoma rādītāju;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ēkas apjoma rādītāja lielums kvadrātmetros vai kubikmetros;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izteikt 154.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"154. Inženierbūves kadastrālo vērtību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IB</w:t>
      </w:r>
      <w:r w:rsidR="00000000" w:rsidRPr="00000000" w:rsidDel="00000000">
        <w:rPr>
          <w:i w:val="1"/>
          <w:vertAlign w:val="subscript"/>
          <w:rtl w:val="0"/>
        </w:rPr>
        <w:t xml:space="preserve">KV</w:t>
      </w:r>
      <w:r w:rsidR="00000000" w:rsidRPr="00000000" w:rsidDel="00000000">
        <w:rPr>
          <w:rtl w:val="0"/>
        </w:rPr>
        <w:t xml:space="preserve"> = (Σ (</w:t>
      </w:r>
      <w:r w:rsidR="00000000" w:rsidRPr="00000000" w:rsidDel="00000000">
        <w:rPr>
          <w:i w:val="1"/>
          <w:rtl w:val="0"/>
        </w:rPr>
        <w:t xml:space="preserve">IB</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KV</w:t>
      </w:r>
      <w:r w:rsidR="00000000" w:rsidRPr="00000000" w:rsidDel="00000000">
        <w:rPr>
          <w:rtl w:val="0"/>
        </w:rPr>
        <w:t xml:space="preserve"> – inženierbūves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Bv</w:t>
      </w:r>
      <w:r w:rsidR="00000000" w:rsidRPr="00000000" w:rsidDel="00000000">
        <w:rPr>
          <w:rtl w:val="0"/>
        </w:rPr>
        <w:t xml:space="preserve"> – tipa bāzes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tipa apjoma rādītāja lielums;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 inženierbūvēm (12.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apgrūtinājumu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izteikt 156.1.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"156.1. dzīvokļa īpašumu veidojošo telpu grupu (Dzīvokļa īpašuma likuma izpratnē – atsevišķa īpašuma) kadastrālās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izteikt 157.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"157. Dzīvokļa īpašuma kadastrālo vērtību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3619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715000" cy="3619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w:t>
      </w:r>
      <w:r w:rsidR="00000000" w:rsidRPr="00000000" w:rsidDel="00000000">
        <w:rPr>
          <w:vertAlign w:val="subscript"/>
          <w:rtl w:val="0"/>
        </w:rPr>
        <w:t xml:space="preserve">KV</w:t>
      </w:r>
      <w:r w:rsidR="00000000" w:rsidRPr="00000000" w:rsidDel="00000000">
        <w:rPr>
          <w:rtl w:val="0"/>
        </w:rPr>
        <w:t xml:space="preserve"> – dzīvokļa īpašuma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dzīvokļa īpašumu veidojošās telpu grupas (Dzīvokļa īpašuma likuma izpratnē – atsevišķa īpašuma) kadastrālā vērtība;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1200KV</w:t>
      </w:r>
      <w:r w:rsidR="00000000" w:rsidRPr="00000000" w:rsidDel="00000000">
        <w:rPr>
          <w:rtl w:val="0"/>
        </w:rPr>
        <w:t xml:space="preserve"> – koplietošanas telpu grupas kadastrālā vērtība ēkā, kuras kopīpašuma domājamās daļas ietilpst dzīvokļa īpašumā;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B</w:t>
      </w:r>
      <w:r w:rsidR="00000000" w:rsidRPr="00000000" w:rsidDel="00000000">
        <w:rPr>
          <w:rtl w:val="0"/>
        </w:rPr>
        <w:t xml:space="preserve"> – kopīpašuma domājamās daļas ēkā, kurā atrodas dzīvokļa īpašums un kuras kopīpašuma domājamās daļas ietilpst dzīvokļa īpašuma sastāvā;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KV</w:t>
      </w:r>
      <w:r w:rsidR="00000000" w:rsidRPr="00000000" w:rsidDel="00000000">
        <w:rPr>
          <w:rtl w:val="0"/>
        </w:rPr>
        <w:t xml:space="preserve"> – kadastrālā vērtība tai zemes vienībai, kuras kopīpašuma domājamās daļas ietilpst dzīvokļa īpašuma sastāvā;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)z – kopīpašuma domājamās daļas tai zemes vienībai, kuras kopīpašuma domājamās daļas ietilpst dzīvokļa īpašuma sastāvā;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ĪFSB</w:t>
      </w:r>
      <w:r w:rsidR="00000000" w:rsidRPr="00000000" w:rsidDel="00000000">
        <w:rPr>
          <w:vertAlign w:val="subscript"/>
          <w:rtl w:val="0"/>
        </w:rPr>
        <w:t xml:space="preserve">KV</w:t>
      </w:r>
      <w:r w:rsidR="00000000" w:rsidRPr="00000000" w:rsidDel="00000000">
        <w:rPr>
          <w:rtl w:val="0"/>
        </w:rPr>
        <w:t xml:space="preserve"> – kadastrālā vērtība tai ar dzīvokļa īpašumu funkcionāli saistītajai būvei, kuras kopīpašuma domājamās daļas ietilpst dzīvokļa īpašuma sastāvā;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DZĪFSBKV</w:t>
      </w:r>
      <w:r w:rsidR="00000000" w:rsidRPr="00000000" w:rsidDel="00000000">
        <w:rPr>
          <w:rtl w:val="0"/>
        </w:rPr>
        <w:t xml:space="preserve"> – kopīpašuma domājamās daļas tai ar dzīvokļa īpašumu funkcionāli saistītajai būvei, kuras kopīpašuma domājamās daļas ietilpst dzīvokļa īpašuma sastāvā.";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izteikt 161.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Šo noteikumu 7., 8. un 9. nodaļa universālās kadastrālās vērtības aprēķinam stājas spēkā 2025.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papildināt ar 162.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Valsts zemes dienests no 2025. gada 1. janvāra kadastra objektam aprēķina divas kadastrālās vērtības: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162.1. universālo kadastrālo vērtību atbilstoši Nekustamā īpašuma valsts kadastra likuma pārejas noteikumu 43.</w:t>
      </w:r>
      <w:r w:rsidR="00000000" w:rsidRPr="00000000" w:rsidDel="00000000">
        <w:rPr>
          <w:vertAlign w:val="superscript"/>
          <w:rtl w:val="0"/>
        </w:rPr>
        <w:t xml:space="preserve">2</w:t>
      </w:r>
      <w:r w:rsidR="00000000" w:rsidRPr="00000000" w:rsidDel="00000000">
        <w:rPr>
          <w:rtl w:val="0"/>
        </w:rPr>
        <w:t xml:space="preserve"> punktā minētajai kadastrālo vērtību bāzei un šajos  noteikumos apstiprinātajām kadastrālās vērtības aprēķina formulām;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162.2. fiskālo kadastrālo vērtību atbilstoši 2024. gada 31. decembrī spēkā esošajai kadastrālo vērtību bāzei un Ministru kabineta 2006. gada 18. aprīļa noteikumu Nr. 305 "Kadastrālās vērtēšanas noteikumi" VIII, IX, X, XI, XII un XIII nodaļas normām, kā arī līdz 2025. gada 1. februārim – ievērojot Nekustamā īpašuma valsts kadastra likuma pārejas noteikumu 41. punktā minēto nosacījumu par koeficienta 0,7 piemērošanu zemei.";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papildināt ar 163.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Lai aprēķinātu fiskālo kadastrālo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163.1. ēkām – izmanto ēkas nolietojumu un tam atbilstošo būves nolietojuma korekcijas koeficientu K</w:t>
      </w:r>
      <w:r w:rsidR="00000000" w:rsidRPr="00000000" w:rsidDel="00000000">
        <w:rPr>
          <w:vertAlign w:val="subscript"/>
          <w:rtl w:val="0"/>
        </w:rPr>
        <w:t xml:space="preserve">s</w:t>
      </w:r>
      <w:r w:rsidR="00000000" w:rsidRPr="00000000" w:rsidDel="00000000">
        <w:rPr>
          <w:rtl w:val="0"/>
        </w:rPr>
        <w:t xml:space="preserve">, kāds Kadastra informācijas sistēmā reģistrēts uz 2024. gada 31. decembri. Ja pēc šī datuma mainās ēku raksturojošie dati (izņemot reģistrētā nolietojuma pāreju uz nolietojuma grupām), piemēro būves nolietojuma korekcijas koeficientu ēkām atbilstoši šo noteikumu 6. pielikumam. Nolietojuma pāreju uz nolietojuma grupām pārējos gadījumos sāk izvērtēt no 2025. gada 1. februāra. Apgrūtinājumu korekcijas koeficientu K</w:t>
      </w:r>
      <w:r w:rsidR="00000000" w:rsidRPr="00000000" w:rsidDel="00000000">
        <w:rPr>
          <w:vertAlign w:val="subscript"/>
          <w:rtl w:val="0"/>
        </w:rPr>
        <w:t xml:space="preserve">li</w:t>
      </w:r>
      <w:r w:rsidR="00000000" w:rsidRPr="00000000" w:rsidDel="00000000">
        <w:rPr>
          <w:rtl w:val="0"/>
        </w:rPr>
        <w:t xml:space="preserve"> = 0,55 piemēro, ja mainās nolietojums uz nolietojuma grupu "V3", "V4" vai "V5" un ēka ir reģistrēta kā valsts nozīmes kultūras piemineklis. Apgrūtinājumu korekcijas koeficientu K</w:t>
      </w:r>
      <w:r w:rsidR="00000000" w:rsidRPr="00000000" w:rsidDel="00000000">
        <w:rPr>
          <w:vertAlign w:val="subscript"/>
          <w:rtl w:val="0"/>
        </w:rPr>
        <w:t xml:space="preserve">li</w:t>
      </w:r>
      <w:r w:rsidR="00000000" w:rsidRPr="00000000" w:rsidDel="00000000">
        <w:rPr>
          <w:rtl w:val="0"/>
        </w:rPr>
        <w:t xml:space="preserve"> = 0,65 piemēro, ja mainās nolietojums uz nolietojuma grupu "V3", "V4" vai "V5" un ēka ir reģistrēta kā reģionālās vai vietējas nozīmes kultūras piemineklis. Inženierbūvei, ja tās nolietojuma procents Kadastra informācijas sistēmā ir reģistrēts 83–100 %, piemēro būves nolietojuma korekcijas koeficientu Ks "0,05";</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163.2. zemei – izmanto apgrūtinājumu korekcijas koeficientu, kas aprēķināts atbilstoši apgrūtinājumiem, kas Kadastra informācijas sistēmā reģistrēti līdz 2025. gada 31. janvārim. No 2025. gada 1. februāra izmanto apgrūtinājumu korekcijas koeficientu, kas aprēķināts atbilstoši šo noteikumu 13. pielikumā noteiktajiem apgrūtinājumiem, ievērojot no Apgrūtināto teritoriju informācijas sistēmas Kadastra informācijas sistēmā reģistrētos apgrūtinājumus, bet neņemot vērā apgrūtinājumu platību savstarpējo pārklāšanos.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papildināt ar 164.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Lai aprēķinātu fiskālo kadastrālo vērtību jaunajam ēkas tipam, kas stājas spēkā ar 2025. gada 1. janvāri (kods 12720102 "Ar apbedīšanu saistītās ēkas"), piemēro ēkām ar kodu 12720101 "Kulta ēkas" apstiprināto bāzes vērtību universālās kadastrālās vērtības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papildināt ar 165.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Lai aprēķinātu fiskālo kadastrālo vērtību jaunajiem inženierbūvju tipiem, kas stājas spēkā ar 2025. gada 1. janvāri, piemēro norādītās bāzes vērtības attiecīgajam apjoma rādītājam: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165.1. kods 24120104 "Ledus nobrauciena trases" – 9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165.2. kods 24120105 "Nobrauciena trases" – 9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165.3. kods 24120106 "Sporta un atpūtas trošu ceļi" – 7 </w:t>
      </w:r>
      <w:r w:rsidR="00000000" w:rsidRPr="00000000" w:rsidDel="00000000">
        <w:rPr>
          <w:i w:val="1"/>
          <w:rtl w:val="0"/>
        </w:rPr>
        <w:t xml:space="preserve">euro</w:t>
      </w:r>
      <w:r w:rsidR="00000000" w:rsidRPr="00000000" w:rsidDel="00000000">
        <w:rPr>
          <w:rtl w:val="0"/>
        </w:rPr>
        <w:t xml:space="preserve">/m par garuma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165.4. kods 24200701 "Laukumi" – 10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165.5. kods 24200801 "Skatu torņi un platformas" – 435 </w:t>
      </w:r>
      <w:r w:rsidR="00000000" w:rsidRPr="00000000" w:rsidDel="00000000">
        <w:rPr>
          <w:i w:val="1"/>
          <w:rtl w:val="0"/>
        </w:rPr>
        <w:t xml:space="preserve">euro</w:t>
      </w:r>
      <w:r w:rsidR="00000000" w:rsidRPr="00000000" w:rsidDel="00000000">
        <w:rPr>
          <w:rtl w:val="0"/>
        </w:rPr>
        <w:t xml:space="preserve">/m par augstuma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165.6. kods 24200901 "Trošu ceļi" – 7 </w:t>
      </w:r>
      <w:r w:rsidR="00000000" w:rsidRPr="00000000" w:rsidDel="00000000">
        <w:rPr>
          <w:i w:val="1"/>
          <w:rtl w:val="0"/>
        </w:rPr>
        <w:t xml:space="preserve">euro</w:t>
      </w:r>
      <w:r w:rsidR="00000000" w:rsidRPr="00000000" w:rsidDel="00000000">
        <w:rPr>
          <w:rtl w:val="0"/>
        </w:rPr>
        <w:t xml:space="preserve">/m par garuma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papildināt ar 166.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Līdz kadastrālo vērtību bāzes apstiprināšanai funkcionālās zonas lietošanas mērķiem universālās un fiskālās kadastrālās vērtības aprēķinam piemēro Ministru kabineta 2006. gada 20. jūnija noteikumu Nr. 496 "Nekustamā īpašuma lietošanas mērķu klasifikācija un nekustamā īpašuma lietošanas mērķu noteikšanas un maiņas kārtība" 1. pielikumā minētajiem lietošanas mērķiem apstiprināto kadastrālo vērtību bāzi. Konkrēto lietošanas mērķi, kura kadastrālo vērtību bāze piemērojama kadastrālās vērtības aprēķinā, nosaka atbilstoši šo noteikumu 14. pielikumā norādītajai sasaistei un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papildināt ar 167.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"167. Zemes vienības daļas funkcionālās zonas lietošanas mērķim atbilstošo lietošanas mērķi šo noteikumu 166. punktā noteiktajā gadījumā nosaka tādu pašu, kā noteikts zemes vienībai attiecīgajam funkcionālās zonas lietošanas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papildināt ar 11.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papildināt ar 12. pielikumu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papildināt ar 13. pielikumu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papildināt ar 14. pielikumu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ministres vietā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24-TA-1466</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24-TA-1466</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noteikumu_(grozījumu)_projekts_24-TA-1466.docx</dc:title>
</cp:coreProperties>
</file>

<file path=docProps/custom.xml><?xml version="1.0" encoding="utf-8"?>
<Properties xmlns="http://schemas.openxmlformats.org/officeDocument/2006/custom-properties" xmlns:vt="http://schemas.openxmlformats.org/officeDocument/2006/docPropsVTypes"/>
</file>