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26. aprīlī (prot. Nr. 23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8. aprīļa noteikumos Nr. 218 "Pieminekļu un piemiņas zīmju uzstādīšanas, piemiņas vietu izveidošanas un informatīvo plākšņu izvietošanas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kultūras pieminekļu aizsardzību</w:t>
      </w:r>
      <w:r w:rsidR="00000000" w:rsidRPr="00000000" w:rsidDel="00000000">
        <w:rPr>
          <w:rStyle w:val="paragraph"/>
          <w:i w:val="1"/>
          <w:rtl w:val="0"/>
        </w:rPr>
        <w:t xml:space="preserve">"</w:t>
      </w:r>
      <w:r>
        <w:br/>
      </w:r>
      <w:r w:rsidR="00000000" w:rsidRPr="00000000" w:rsidDel="00000000">
        <w:rPr>
          <w:rStyle w:val="paragraph"/>
          <w:i w:val="1"/>
          <w:rtl w:val="0"/>
        </w:rPr>
        <w:t xml:space="preserve">14. panta vienpadsmito daļu un 18.</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8. aprīļa noteikumos Nr. 218 "Pieminekļu un piemiņas zīmju uzstādīšanas, piemiņas vietu izveidošanas un informatīvo plākšņu izvietošanas noteikumi" (Latvijas Vēstnesis, 2021, 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Padomes sēdes notiek vienu reizi mēnesī, ja saņemts priekšlikums, kas izskatāms padomes sēdē."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Vides aizsardzības un reģionālās attīstības ministrija publicē tīmekļvietnē padomes sēžu grafiku kalendāra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Priekšlikumu un tam pievienoto dokumentāciju pašvaldība iesniedz vismaz 10 darbdienas pirms attiecīgās padomes sēdes."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Padome izvērtē saņemto dokumentāciju par vēsturiskā notikuma faktu vai personas vēsturisko nozīmīgumu un ietvertās ieceres atbilstību normatīvajiem aktiem un sniedz pašvaldībai elektroniski, parakstītu ar drošu elektronisko parakstu, vienu no šādiem atzinumiem: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atbalstīt ieceri;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neatbalstīt ieceri;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atlikt ieceres vērtēšanu konstatēto trūkumu dēļ, nosakot termiņu to novēršanai."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22-TA-614</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22-TA-614</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noteikumu_(grozījumu)_projekts_22-TA-614.docx</dc:title>
</cp:coreProperties>
</file>

<file path=docProps/custom.xml><?xml version="1.0" encoding="utf-8"?>
<Properties xmlns="http://schemas.openxmlformats.org/officeDocument/2006/custom-properties" xmlns:vt="http://schemas.openxmlformats.org/officeDocument/2006/docPropsVTypes"/>
</file>