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22. oktobra noteikumos Nr. 664 "Kārtība, kādā Aizsardzības ministrija īsteno projektu konkursus militāru vai divējāda lietojuma produktu attīstības atbalstam"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Aizsardzības industrijas likuma</w:t>
      </w:r>
      <w:r w:rsidR="00000000" w:rsidRPr="00000000" w:rsidDel="00000000">
        <w:rPr>
          <w:rStyle w:val="paragraph"/>
          <w:i w:val="1"/>
          <w:rtl w:val="0"/>
        </w:rPr>
        <w:t xml:space="preserve"> 5.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22. oktobra noteikumos Nr. 664 "Kārtība, kādā Aizsardzības ministrija īsteno projektu konkursus militāru vai divējāda lietojuma produktu attīstības atbalstam" (Latvijas Vēstnesis, 2024, 213.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kārtību, kādā Aizsardzības ministrija īsteno projektu konkursus militāru vai divējāda lietojuma produktu attīstības atbalstam: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sagatavo un izsludina projektu konkursus;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izvērtē projektu iesniegumus un pieņem lēmumus par konkursu uzvarētājiem;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piešķir atbalstu un nodrošina kontroli attiecībā uz sniegtā atbalsta izmantošanu atbilstoši tam paredzētajam mērķim."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w:t>
      </w:r>
      <w:r w:rsidR="00000000" w:rsidRPr="00000000" w:rsidDel="00000000">
        <w:rPr>
          <w:i w:val="1"/>
          <w:rtl w:val="0"/>
        </w:rPr>
        <w:t xml:space="preserve">de minimis</w:t>
      </w:r>
      <w:r w:rsidR="00000000" w:rsidRPr="00000000" w:rsidDel="00000000">
        <w:rPr>
          <w:rtl w:val="0"/>
        </w:rPr>
        <w:t xml:space="preserve"> atbalsts – komercdarbības atbalsts, ko sniedz saskaņā ar Komisijas 2023. gada 13. decembra Regulu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2023/2831) un normatīvajiem aktiem par </w:t>
      </w:r>
      <w:r w:rsidR="00000000" w:rsidRPr="00000000" w:rsidDel="00000000">
        <w:rPr>
          <w:i w:val="1"/>
          <w:rtl w:val="0"/>
        </w:rPr>
        <w:t xml:space="preserve">de minimis</w:t>
      </w:r>
      <w:r w:rsidR="00000000" w:rsidRPr="00000000" w:rsidDel="00000000">
        <w:rPr>
          <w:rtl w:val="0"/>
        </w:rPr>
        <w:t xml:space="preserve"> atbalsta piešķiršanu un uzskaiti;".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divējāda lietojuma produkti – divējāda lietojuma preces, arī programmatūra un tehnoloģijas atbilstoši Eiropas Parlamenta un Padomes 2021. gada 20. maija Regulas (ES) Nr. 2021/821, ar ko izveido Savienības režīmu divējāda lietojuma preču eksporta, starpniecības, tehniskās palīdzības, tranzīta un pārvadājumu kontrolei, I pielikumam;".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mikrouzņēmumi, mazie un vidējie uzņēmumi – uzņēmumi, kas atbilst Eiropas Komisijas 2014. gada 17. jūnija Regulas (ES) Nr. 651/2014, ar ko noteiktas atbalsta kategorijas atzīst par saderīgām ar iekšējo tirgu, piemērojot Līguma 107. un 108. pantu (turpmāk – Komisijas regula Nr. 651/2014), I pielikumā noteiktajiem kritērijiem (turpmāk – uzņēmumi);".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militāra lietojuma produkti – preces, kas īpaši izstrādātas vai pielāgotas militārām vajadzībām, ir izmantojamas kā ieroči, munīcija vai militārais aprīkojums un ir iekļautas ieroču, munīcijas un militārā aprīkojuma sarakstā, uz kuru attiecas Līguma par Eiropas Savienības darbību (turpmāk – LESD) 346. panta 1. punkta "b" apakšpunkts;".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pētniecības organizācija – subjekts, kas atbilst Komisijas regulas Nr. 651/2014 2. panta 83. punktā lietotajai terminoloģijai;".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tehnoloģiju gatavības līmenis (turpmāk – TGL) – tehnoloģiju brieduma pakāpe, ko iedala šādos līmeņos: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 TGL 1 – izzināti dabas likumi: zinātniskā pētījuma rezultāti ļauj uzsākt lietišķās pētniecības un tehnoloģijas attīstības darbus;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2.8.2. TGL 2 – formulēta tehnoloģijas praktiskā lietojuma koncepcija;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 TGL 3 – koncepcijas eksperimentālā pārbaude: uzsākta izpēte un izstrāde (analītiskie/laboratorijas pētījumi), lai apstiprinātu prognozes par tehnoloģijas komponentiem;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2.8.4. TGL 4 – tehnoloģijas validācija laboratorijas vidē: veikta galveno tehnoloģisko komponentu integrācija, lai pārbaudītu to kopdarbību laboratorijas vidē;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2.8.5. TGL 5 – tehnoloģijas validācija mākslīgi radītā vidē: tehnoloģiskie komponenti ir integrēti ar samērā reāliem atbalsta elementiem, lai tehnoloģiju varētu pārbaudīt mākslīgi radītā vidē;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2.8.6. TGL 6 – tehnoloģijas demonstrācija mākslīgi radītā vidē: sistēmas modelis vai prototips ir pārbaudīts mākslīgi radītā vidē;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2.8.7. TGL 7 – sistēmas prototipa demonstrācija darbības vidē: sistēmas prototips, kas atbilst vai tikai minimāli atšķiras no plānotās sistēmas, ir pārbaudīts reālā darbības vidē;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2.8.8. TGL 8 – sistēma ir pabeigta un pārbaudīta: ir pierādīts, ka tehnoloģija darbojas tās galīgajā formā un plānotajos apstākļos (pēdējais tehnoloģijas attīstības līmenis);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2.8.9. TGL 9 – sekmīga sistēmas ekspluatācija;".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pirmsakcelerācijas programma – atbalsta pasākumu kopums jaunuzņēmumiem, kas izstrādā un attīsta militāra vai divējāda lietojuma produktus, lai palīdzētu tiem pārbaudīt to inovāciju dzīvotspēju un tirgus pieprasījumu, paaugstinātu tehnoloģisko gatavību, kā arī veicinātu uzņēmumu sekmīgu nonākšanu nākamajos akcelerācijas posmos;".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2.10.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 atbalsta programmas operators – organizācija, kas veic šo noteikumu 1.1. apakšpunktā minēto konkursu pārvaldību un īstenošanu, sagatavojot un publicējot konkursu nolikumu, pārbaudot pretendentu atbilstību konkursa prasībām, veicot pieteikumu izvērtēšanu, kā arī uzturot nepieciešamo dokumentu pārvaldības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Atbalstu piešķir, lai aizsardzības un drošības industrijā ietilpstošie uzņēmumi (attiecībā uz pirmsakcelerācijas programmu – jaunuzņēmumi, kas ir šīs programmas dalībnieki) radītu un attīstītu inovatīvus produktus, pakalpojumus un tehnoloģijas atbilstoši nacionālā un starptautiskā līmeņa aizsardzības spēju attīstības plāniem ar komercializācijas potenciālu aizsardzības vai drošības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Atbalstu piešķir tādiem pasākumiem kā esošu vai jaunu zinātnisko atziņu, tehnoloģisko un citu attiecīgu zināšanu un prasmju iegūšana, kombinēšana, modelēšana un izmantošana, lai izstrādātu jaunus vai uzlabotu esošus produktus, pakalpojumus vai tehnoloģijas, kā arī prototipu izgatavošanai, demonstrējumiem, pilotprojektiem, jaunu vai uzlabotu produktu, pakalpojumu vai tehnoloģiju radīšanai un testēšanai, tirgus izpētes un investīciju piesaistes gatavības līmeņa paaugstināšanai, publicitātei un mārketingam, tai skaitā dalībai aizsardzības un drošības industrijas izstādēs un konferencēs Latvijā un ārvalstīs."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Atbalstu piešķir: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kā </w:t>
      </w:r>
      <w:r w:rsidR="00000000" w:rsidRPr="00000000" w:rsidDel="00000000">
        <w:rPr>
          <w:i w:val="1"/>
          <w:rtl w:val="0"/>
        </w:rPr>
        <w:t xml:space="preserve">de minimis </w:t>
      </w:r>
      <w:r w:rsidR="00000000" w:rsidRPr="00000000" w:rsidDel="00000000">
        <w:rPr>
          <w:rtl w:val="0"/>
        </w:rPr>
        <w:t xml:space="preserve">atbalstu divējāda lietojuma produktu attīstībai vai dalībai pirmsakcelerācijas programmā;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kā atbalstu militāra lietojuma produktu attīstībai saskaņā ar LESD 346. pantu, tam nepiemērojot komercdarbības atbalsta regulējumu, ja kumulatīvi ir izpildīti divi priekšnoteikumi: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 pasākums skar būtiskas valsts drošības intereses;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 pasākums ir saistīts ar tādu ieroču, munīcijas un militārā aprīkojuma izstrādi, kas ir iekļauti ieroču, munīcijas un militārā aprīkojuma sarakstā, uz kuru attiecas LESD 346. panta 1. punkta "b" apakšpunkts."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w:t>
      </w:r>
      <w:r w:rsidR="00000000" w:rsidRPr="00000000" w:rsidDel="00000000">
        <w:rPr>
          <w:i w:val="1"/>
          <w:rtl w:val="0"/>
        </w:rPr>
        <w:t xml:space="preserve">De minimis</w:t>
      </w:r>
      <w:r w:rsidR="00000000" w:rsidRPr="00000000" w:rsidDel="00000000">
        <w:rPr>
          <w:rtl w:val="0"/>
        </w:rPr>
        <w:t xml:space="preserve"> atbalstu piešķir, ievērojot Komisijas regulas 2023/2831 1. panta 1. punktā minētos nozaru un darbību ierobežojumus. Ja atbalsta saņēmējs vienlaikus darbojas vienā vai vairākās Komisijas regulas 2023/2831 1. panta 1. punkta "a", "b", "c" un "d" apakšpunktā minētajās nozarēs, atbalstu drīkst piešķirt tikai tad, ja atbalsta pretendents nodrošina šo nozaru darbību vai uzskaites nodalīšanu, lai saskaņā ar Komisijas regulas 2023/2831 1. panta 2. punktu darbības izslēgtajās nozarēs negūtu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Piešķirot </w:t>
      </w:r>
      <w:r w:rsidR="00000000" w:rsidRPr="00000000" w:rsidDel="00000000">
        <w:rPr>
          <w:i w:val="1"/>
          <w:rtl w:val="0"/>
        </w:rPr>
        <w:t xml:space="preserve">de minimis</w:t>
      </w:r>
      <w:r w:rsidR="00000000" w:rsidRPr="00000000" w:rsidDel="00000000">
        <w:rPr>
          <w:rtl w:val="0"/>
        </w:rPr>
        <w:t xml:space="preserve"> atbalstu, Aizsardzības ministrija pārbauda, vai plānotais </w:t>
      </w:r>
      <w:r w:rsidR="00000000" w:rsidRPr="00000000" w:rsidDel="00000000">
        <w:rPr>
          <w:i w:val="1"/>
          <w:rtl w:val="0"/>
        </w:rPr>
        <w:t xml:space="preserve">de minimis</w:t>
      </w:r>
      <w:r w:rsidR="00000000" w:rsidRPr="00000000" w:rsidDel="00000000">
        <w:rPr>
          <w:rtl w:val="0"/>
        </w:rPr>
        <w:t xml:space="preserve"> atbalsta apmērs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nepārsniedz Komisijas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viena vienota uzņēmuma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pasākumā, </w:t>
      </w:r>
      <w:r w:rsidR="00000000" w:rsidRPr="00000000" w:rsidDel="00000000">
        <w:rPr>
          <w:i w:val="1"/>
          <w:rtl w:val="0"/>
        </w:rPr>
        <w:t xml:space="preserve">ad-hoc</w:t>
      </w:r>
      <w:r w:rsidR="00000000" w:rsidRPr="00000000" w:rsidDel="00000000">
        <w:rPr>
          <w:rtl w:val="0"/>
        </w:rPr>
        <w:t xml:space="preserve"> lēmumā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 Ja par vienām un tām pašām projekta attiecināmajām izmaksām tiek piešķirts atbalsts vairāku komercdarbības atbalsta pasākumu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Atbalstu piešķir: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uzņēmumiem tādu militāru vai divējāda lietojuma produktu attīstībai, kas atbilst tehnoloģiju gatavības ceturtajam līdz astotajam līmenim (TGL 4–TGL 8);</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jaunuzņēmumiem dalībai pirmsakcelerācijas programmā tādu militāru vai divējāda lietojuma produktu attīstībai, kas atbilst tehnoloģiju gatavības trešajam līdz piektajam līmenim (TGL 3–TGL 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Atbalsta piešķiršanu un uzraudzību nodrošina Aizsardzības ministrijas izveidotā Industrijas atbalsta komisija (turpmāk –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Atbalsta programmas operators izstrādā un komisija apstiprina konkursu nolikumus. Konkursi tiek izsludināti, publicējot informāciju Aizsardzības ministrijas tīmekļvietnē. Nolikumā tiek ietverti: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vispārējie konkursa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13.1.1. konkursa mērķis, konkrētajā konkursā iekļautās aizsardzības spēju prioritātes un mērķgrupas;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13.1.2. projekta iesnieguma sagatavošanas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13.1.3. projektu īstenošanas periods;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13.1.4. konkursam paredzētais atbalsta apmērs;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13.1.5. konkursā paredzētās attiecināmās izmaksas atbilstoši šo noteikumu 4. un 26.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13.1.6. projekta iesnieguma iesniegšanas termiņi;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13.1.7. projekta iesnieguma atlases un vērtēšanas kritēriji;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13.1.8. projektu apstiprināšanas un līgumu slēgšanas un uzraudzības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informācija par konkursā iesniedzamajiem dokumentiem: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13.2.1. projekta iesnieguma veidlapa;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13.2.2. projekta izstrādes plāna veidlapa;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13.2.3. projekta tāmes veidlapa;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13.2.4. </w:t>
      </w:r>
      <w:r w:rsidR="00000000" w:rsidRPr="00000000" w:rsidDel="00000000">
        <w:rPr>
          <w:i w:val="1"/>
          <w:rtl w:val="0"/>
        </w:rPr>
        <w:t xml:space="preserve">de minimis</w:t>
      </w:r>
      <w:r w:rsidR="00000000" w:rsidRPr="00000000" w:rsidDel="00000000">
        <w:rPr>
          <w:rtl w:val="0"/>
        </w:rPr>
        <w:t xml:space="preserve"> atbalsta uzskaites sistēmā sagatavotās veidlapas izdruka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(attiecināms, ja projekta iesniegumā netiek norādīts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specifiskie nosacījumi par Ukrainas juridisko personu dalību projektu konkursos militāru vai divējāda lietojuma produktu attīstības atbalstam un attiecīgām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Projekta iesniedzējs var atbalsta programmas operatoram pieprasīt informāciju par atbalsta programmas nosacījumiem, kā arī lūgt konsultāciju par projekta iesnieguma sagatavošanu."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Atbalsta saņemšanai var pieteikties Latvijas Republikā reģistrēts uzņēmums vai uzņēmumu apvienība (konsorcijs), kas atbilst šādām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projekta iesniedzējam ir nepieciešamās zināšanas un prasmes attiecīgā projekta īstenošanai, un tas ir projekta vadošais partneris;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projekta iesniedzējam ir projekta īstenošanai nepieciešamais līdzfinansējums, ja tāds ir noteikts konkursa nolikumā, tai skaitā līdzfinansējums, ko nodrošina citi konsorcija dalībnieki;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 projekta iesniedzējs un citi konsorcija dalībnieki atbilst šo noteikumu 2.3. apakšpunktā noteiktajām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18.4. projekta iesniedzēja dalībnieki ir juridiskas personas, kas reģistrētas Latvijas Republikā, kādā no Eiropas Savienības, Eiropas Ekonomikas zonas vai Ziemeļatlantijas līguma organizācijas dalībvalstīm vai Ukrainā, vai fiziskas personas, kas ir Latvijas Republikas, Ziemeļatlantijas līguma organizācijas, Eiropas Savienības vai Eiropas Ekonomikas zonas valstu pilsoņi;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18.5. projekta iesniedzēja dalībnieki, kas ir juridiskas personas, nav reģistrēti zemu nodokļu vai beznodokļu valstīs un teritorijās;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18.6. nav pasludināts projekta iesniedzēja un citu konsorcija dalībnieku maksātnespējas process, un tie netiek likvidēti;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18.7. projekta iesniedzējam un citiem konsorcija dalībniekiem uz dienu, kad tiek iesniegts projekta iesniegums, saskaņā ar attiecīgās valsts nodokļu administrācijas (Latvijā – Valsts ieņēmumu dienesta) administrēto nodokļu (nodevu) parādnieku datubāzē publiski pieejamo informāciju nav nodokļu (nodevu) parāda,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18.8. projekta iesniedzēja un citu konsorcija dalībnieku valdes vai padomes loceklis, pārstāvēttiesīgā persona vai prokūrists ar tiesas spriedumu, kas stājies spēkā un kļuvis nepārsūdzams, vai prokurora priekšrakstu par sodu, kas stājies spēkā, nav atzīts par vainīgu jebkurā no šādiem noziedzīgiem nodarījumiem: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18.8.2. kukuļņemšana, kukuļdošana, kukuļa piesavināšanās,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18.8.3. krāpšana, piesavināšanās vai noziedzīgi iegūtu līdzekļu legalizēšana;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18.8.4. terorisms, terorisma finansēšana, aicinājums uz terorismu, terorisma draudi vai personas vervēšana, apmācīšana un apmācīšanās terorismam;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18.8.5. cilvēku tirdzniecība;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18.8.6. izvairīšanās no nodokļu un tiem pielīdzināto maksājumu samaksas;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18.9.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un sankcijas. Projekta iesniedzēja valdes vai padomes locekļi, pārstāvēttiesīgās personas vai prokūristi un dalībnieki nepieder pie aizliegtiem militarizētiem vai bruņotiem grupējumiem, aizliegtām sabiedriskām organizācijām, partijām vai to apvienībām. Šis nosacījums attiecas arī uz citiem konsorcija dalībniekiem;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18.10. projekta iesniedzējs un konsorcija dalībnieki nav snieguši nepatiesu informāciju par kādu no šā punkta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18.11. nav apturēta projekta iesniedzēja un citu konsorcija dalībnieku saimnieciskā darbība."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Ja atbalsta programmas operators valsts informācijas sistēmās vai datubāzēs nevar iegūt informāciju, lai izvērtētu projekta iesniedzēja un citu konsorcija dalībnieku atbilstību šo noteikumu prasībām, tas pēc projekta iesnieguma saņemšanas pieprasa: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 Iekšlietu digitālajam centram – ziņas par šo noteikumu 18.8. apakšpunktā minētajiem noziedzīgiem nodarījumiem;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 Pilsonības un migrācijas lietu pārvaldei – informāciju par šo noteikumu 18.4. apakšpunktā norādīto fizisko personu valstisko piederību, ja ziņas par fizisko personu ir iekļautas Fizisko personu reģistrā;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20.3. projekta iesniedzējam vai attiecīgajam konsorcija partnerim – informāciju juridiski saistoša apliecinājuma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Komisija, gatavojot priekšlikumu par atbalsta piešķiršanu vai atteikumu piešķirt atbalstu, ņem vērā šo noteikumu 13.2. apakšpunktā minētajos dokumentos un sistēmā pieejamo informāciju, lai izvērtētu projekta iesnieguma atbilstību šo noteikumu 6., 7. un 8. punktā minētajām prasībām. Komisija ņem vērā arī atbalsta pretendenta papildus iesniegto informāciju atbalsta kumulācijas nosacījumu ievērošanai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Atbalstu piešķir granta veidā saskaņā ar konkursu nolikumos noteikto kārtību. Atbalsta saņēmējs ir atbildīgs par nepieciešamā līdzfinansējuma nodrošināšanu, ja tāds ir noteikts konkursa nolikumā, un projekta īstenošanas turpināšanai nepieciešamajiem finanšu resursiem."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Atbalsta īpatsvars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projektu konkursos militāru vai divējāda lietojuma produktu attīstības atbalstam – 50 % no projekta attiecināmajām izmaksām. Atbalsta maksimālais īpatsvars var tikt palielināts līdz 75 % no projekta attiecināmajām izmaksām, ja projekta īstenošana paredz pētniecības organizāciju iesaisti vai to pētniecības darba rezultātu izmantošanu, nodrošinot tehnoloģiju pārnesi un veicinot to komercializācijas potenciālu;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 pirmsakcelerācijas grantu konkursā – līdz 100 % no projekta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Projekta attiecināmās izmaksas šo noteikumu izpratnē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 projektu konkursu militāru vai divējāda lietojuma produktu attīstības atbalstam un pirmakcelerācijas grantu ietvaros: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26.1.1. personāla izmaksas – projekta iesniedzēja darbinieku, pētnieku un palīgdarbinieku izmaksas, ciktāl tie nodarbināti projektā;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26.1.2. instrumentu un aprīkojuma izmaksas, ciktāl tos izmanto projektā;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26.1.3. ēku un zemes izmaksas, ciktāl un cik ilgi tās izmanto projektā. Attiecībā uz ēkām par attiecināmajām izmaksām ir uzskatāmas tikai tās amortizācijas izmaksas, kas atbilst projekta ilgumam un amortizācijas aprēķiniem. Attiecībā uz zemi par attiecināmajām izmaksām ir uzskatāmas komerciālās nodošanas izmaksas vai faktiski veikto kapitālieguldījumu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26.1.4. materiālu, piederumu un līdzīgu produktu izmaksas, kas radušās tieši projekta īstenošanas gaitā;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26.1.5. maksa par līgumpētījumiem, zināšanām un patentiem, kas iegādāti vai kuru licences saņemtas no ārējiem avotiem godīgas konkurences apstākļos, kā arī konsultantu un līdzvērtīgu pakalpojumu izmaksas, kuri izmantoti vienīgi projekta mērķiem;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26.1.6. testēšanas un ekspertīžu izmaksas, kas attiecas uz izstrādāto produktu pārbaudi militāram pielietojumam;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 pirmsakcelerācijas programmas ietvaros papildus šo noteikumu 26.1.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26.2.1. izejmateriālu un izejvielu iegādes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26.2.2. ražošanas aprīkojuma un iekārtu iegādes un pielāgošanas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26.2.3. vispārējās preču, pakalpojumu un kapitālieguldījumu izmaksas, tai skaitā ar komandējumiem saistītās transporta, apdrošināšanas un izmitināšanas izmaksas, dalības maksa nozares izstādēs un konferencēs, publicitātes izmaksas (tai skaitā reklāmas materiālu, prezentāciju un stendu izgatavošana)."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Atbalsta programmas operatoram ir tiesības pieaicināt ekspertus un jomas speciālistus projektu iesniegumu izvērtēšanai."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Kad atbalsta programmas operators ir izvērtējis projekta iesniegumu, tam pievienotos dokumentus un projekta iesniedzēja un citu konsorcija dalībnieku atbilstību konkursa nolikumā izvirzītajām prasībām, tas sagatavo un iesniedz komisijai izvērtēšanas ziņojumu. Pamatojoties uz izvērtēšanas ziņojumu un ņemot vērā šo noteikumu 23. un 24. punkta nosacījumus, komisija sagatavo priekšlikumu attiecībā uz katru iesniegto projektu un iesniedz to Aizsardzības ministrijas valsts sekretāram lēmuma pieņemšanai attiecīgi: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 par atbalsta piešķiršanu;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28.2. par atteikumu piešķirt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Aizsardzības ministrija var lemt par aizsardzības nozares speciālistu iesaisti un projekta ietvaros izstrādāta produkta (tā prototipa) testēšanai nepieciešamās Nacionālo bruņoto spēku infrastruktūras vai materiāltehnisko līdzekļu izmantošanu, lai pārliecinātos par attiecīgā produkta (tā prototipa) praktisku izmantojamību Nacionālo bruņoto spēku spēju attīstībai."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Aizsardzības ministrija slēdz rakstveida līgumu ar atbalsta saņēmēju par atbalsta piešķiršanu. Aizsardzības ministrija, slēdzot rakstveida līgumu par šo noteikumu 5.1. apakšpunktā minētā atbalsta piešķiršanu, izvērtē atbalsta pretendentu atbilstoši Komisijas regulas 2023/2831 nosacījumiem uz atbalsta piešķiršanas brīdi. Rakstveida līguma noslēgšana uzskatāma par atbalsta piešķiršanas brīdi saskaņā ar Komisijas regulas 2023/2831 3. panta 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Atbalsta saņēmējam var paredzēt pēcuzraudzības nosacījumus, ja Aizsardzības ministrija pieņem šādu lēmumu un attiecīgie nosacījumi iekļauti rakstveida līgumā."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Atbalsta saņēmējs nodrošina ar </w:t>
      </w:r>
      <w:r w:rsidR="00000000" w:rsidRPr="00000000" w:rsidDel="00000000">
        <w:rPr>
          <w:i w:val="1"/>
          <w:rtl w:val="0"/>
        </w:rPr>
        <w:t xml:space="preserve">de minimis</w:t>
      </w:r>
      <w:r w:rsidR="00000000" w:rsidRPr="00000000" w:rsidDel="00000000">
        <w:rPr>
          <w:rtl w:val="0"/>
        </w:rPr>
        <w:t xml:space="preserve"> atbalsta saņemšanu saistītās informācijas pieejamību 10 gadus, skaitot no atbalsta piešķiršanas dienas. Aizsardzības ministrija datus par </w:t>
      </w:r>
      <w:r w:rsidR="00000000" w:rsidRPr="00000000" w:rsidDel="00000000">
        <w:rPr>
          <w:i w:val="1"/>
          <w:rtl w:val="0"/>
        </w:rPr>
        <w:t xml:space="preserve">de minimis</w:t>
      </w:r>
      <w:r w:rsidR="00000000" w:rsidRPr="00000000" w:rsidDel="00000000">
        <w:rPr>
          <w:rtl w:val="0"/>
        </w:rPr>
        <w:t xml:space="preserve"> atbalstu glabā 10 gadus, sākot no dienas, kurā saskaņā ar šiem noteikumiem piešķirts pēdējais </w:t>
      </w:r>
      <w:r w:rsidR="00000000" w:rsidRPr="00000000" w:rsidDel="00000000">
        <w:rPr>
          <w:i w:val="1"/>
          <w:rtl w:val="0"/>
        </w:rPr>
        <w:t xml:space="preserve">de minimis</w:t>
      </w:r>
      <w:r w:rsidR="00000000" w:rsidRPr="00000000" w:rsidDel="00000000">
        <w:rPr>
          <w:rtl w:val="0"/>
        </w:rPr>
        <w:t xml:space="preserve"> atbalsts atbilstoši Komisijas regulas 2023/2831 6. panta 3. punktam. Aizsardzības ministrija sniedz informāciju Komisijai saskaņā ar Komisijas regulas 2023/2831 6. panta 7.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25-TA-1937</w:t>
    </w:r>
    <w:r>
      <w:br/>
    </w:r>
    <w:r w:rsidR="00000000" w:rsidRPr="00000000" w:rsidDel="00000000">
      <w:rPr>
        <w:rtl w:val="0"/>
      </w:rPr>
      <w:t xml:space="preserve">Izdrukāts 11.08.2026. 15.25 - 1.0.VK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25-TA-1937</w:t>
    </w:r>
    <w:r>
      <w:br/>
    </w:r>
    <w:r w:rsidR="00000000" w:rsidRPr="00000000" w:rsidDel="00000000">
      <w:rPr>
        <w:rtl w:val="0"/>
      </w:rPr>
      <w:t xml:space="preserve">Izdrukāts 11.08.2026. 15.25 - 1.0.VK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noteikumu_(grozījumu)_projekts_25-TA-1937.docx</dc:title>
</cp:coreProperties>
</file>

<file path=docProps/custom.xml><?xml version="1.0" encoding="utf-8"?>
<Properties xmlns="http://schemas.openxmlformats.org/officeDocument/2006/custom-properties" xmlns:vt="http://schemas.openxmlformats.org/officeDocument/2006/docPropsVTypes"/>
</file>