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11.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Pieļaujamās negatīvās novirzes no deklarētās mēslošanas līdzekļa un substrāta kvalitātes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6071"/>
        <w:gridCol w:w="2526"/>
        <w:tblGridChange w:id="0">
          <w:tblGrid>
            <w:gridCol w:w="802"/>
            <w:gridCol w:w="6071"/>
            <w:gridCol w:w="25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līdzekļi un substrāti un to deklarētie kvalitātes 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Pieļaujamās novirzes no deklarētajiem kvalitātes rādītājiem (masas procenti, ja nav norādīts citādi)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kopējais slāpeklis (N):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nitrāts (iegūts ķīmiski)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Čīles salpetris (no tīrradņa ražots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nitrātus saturošs 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kopējā slāpekļa saturu līdz 32 % (ieskaitot)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kopējā slāpekļa saturu virs 32 %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amonija-magnija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nitrāta-urīnvielas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slāpekļa minerālmēsli (šķīdumi, suspensijas)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amonjakūdens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Fosfora minerālmēsli: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precipitāts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termofosfāts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(K</w:t>
            </w:r>
            <w:r w:rsidR="00000000" w:rsidRPr="00000000" w:rsidDel="00000000">
              <w:rPr>
                <w:vertAlign w:val="subscript"/>
                <w:rtl w:val="0"/>
              </w:rPr>
              <w:t xml:space="preserve">2</w:t>
            </w:r>
            <w:r w:rsidR="00000000" w:rsidRPr="00000000" w:rsidDel="00000000">
              <w:rPr>
                <w:rtl w:val="0"/>
              </w:rPr>
              <w:t xml:space="preserve">O) minerālmēsli: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bagātināta kainīta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kālija (K</w:t>
            </w:r>
            <w:r w:rsidR="00000000" w:rsidRPr="00000000" w:rsidDel="00000000">
              <w:rPr>
                <w:vertAlign w:val="subscript"/>
                <w:rtl w:val="0"/>
              </w:rPr>
              <w:t xml:space="preserve">2</w:t>
            </w:r>
            <w:r w:rsidR="00000000" w:rsidRPr="00000000" w:rsidDel="00000000">
              <w:rPr>
                <w:rtl w:val="0"/>
              </w:rPr>
              <w:t xml:space="preserve">O) saturu, kas nepārsniedz 55 %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kālija (K</w:t>
            </w:r>
            <w:r w:rsidR="00000000" w:rsidRPr="00000000" w:rsidDel="00000000">
              <w:rPr>
                <w:vertAlign w:val="subscript"/>
                <w:rtl w:val="0"/>
              </w:rPr>
              <w:t xml:space="preserve">2</w:t>
            </w:r>
            <w:r w:rsidR="00000000" w:rsidRPr="00000000" w:rsidDel="00000000">
              <w:rPr>
                <w:rtl w:val="0"/>
              </w:rPr>
              <w:t xml:space="preserve">O) saturu, kas pārsniedz 55 %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magniju saturošs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minerālmēsli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minerālmēsli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trīskomponentu minerālmēslos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augu barības elementi minerālmēslos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augu barības elementi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0,72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minerālmēslos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nepārsniedz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nepārsniedz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elementi: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hlors (Cl)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Kaļķošanas materiāli: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izteikta kā kalcija karbonāta (CaCO</w:t>
            </w:r>
            <w:r w:rsidR="00000000" w:rsidRPr="00000000" w:rsidDel="00000000">
              <w:rPr>
                <w:vertAlign w:val="subscript"/>
                <w:rtl w:val="0"/>
              </w:rPr>
              <w:t xml:space="preserve">3</w:t>
            </w:r>
            <w:r w:rsidR="00000000" w:rsidRPr="00000000" w:rsidDel="00000000">
              <w:rPr>
                <w:rtl w:val="0"/>
              </w:rPr>
              <w:t xml:space="preserve">) ekvivalents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izteikta kā kalcija karbonāta (CaCO</w:t>
            </w:r>
            <w:r w:rsidR="00000000" w:rsidRPr="00000000" w:rsidDel="00000000">
              <w:rPr>
                <w:vertAlign w:val="superscript"/>
                <w:rtl w:val="0"/>
              </w:rPr>
              <w:t xml:space="preserve">3</w:t>
            </w:r>
            <w:r w:rsidR="00000000" w:rsidRPr="00000000" w:rsidDel="00000000">
              <w:rPr>
                <w:rtl w:val="0"/>
              </w:rPr>
              <w:t xml:space="preserve">) ekvivalents (%) (tikai koksnes pelniem)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un organominerālie mēslošanas līdzekļi: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sapropelis: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mājlopu ragi un nagi: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augu sēklu izspaidas: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milti: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mājputnu 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organiskie un organominerālie 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Substrāts: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r w:rsidR="00000000" w:rsidRPr="00000000" w:rsidDel="00000000">
              <w:rPr>
                <w:vertAlign w:val="subscript"/>
                <w:rtl w:val="0"/>
              </w:rPr>
              <w:t xml:space="preserve">KCl</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frakcijas izmērs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frakcijas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 saskaņā ar Ministru kabineta 2015. gada 1. septembra noteikumu Nr. 506 "Mēslošanas līdzekļu un substrātu identifikācijas, kvalitātes atbilstības novērtēšanas un tirdzniecības noteikumi" 1. pielikumu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aktīvie savienojumi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Mikrobioloģiskie preparāti: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konkrētas dzīvotspējīgo mikroorganismu grupas daudzums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skaita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Pieļaujamās novirzes nepieciešamas, lai varētu ņemt vērā mēslošanas līdzekļa un substrāta kvalitātes svārstības, kas rodas mēslošanas līdzekļa un substrāta ražošanā, apstrādē, paraugu ņemšanā un testēšanā. Paraugu testēšanas nenoteiktību neizmanto par papildu pielaidi pieļaujamām novirzēm.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Dažādu slāpekļa formu (NO</w:t>
      </w:r>
      <w:r w:rsidR="00000000" w:rsidRPr="00000000" w:rsidDel="00000000">
        <w:rPr>
          <w:vertAlign w:val="subscript"/>
          <w:rtl w:val="0"/>
        </w:rPr>
        <w:t xml:space="preserve">3</w:t>
      </w:r>
      <w:r w:rsidR="00000000" w:rsidRPr="00000000" w:rsidDel="00000000">
        <w:rPr>
          <w:rtl w:val="0"/>
        </w:rPr>
        <w:t xml:space="preserve">, NH</w:t>
      </w:r>
      <w:r w:rsidR="00000000" w:rsidRPr="00000000" w:rsidDel="00000000">
        <w:rPr>
          <w:vertAlign w:val="subscript"/>
          <w:rtl w:val="0"/>
        </w:rPr>
        <w:t xml:space="preserve">4</w:t>
      </w:r>
      <w:r w:rsidR="00000000" w:rsidRPr="00000000" w:rsidDel="00000000">
        <w:rPr>
          <w:rtl w:val="0"/>
        </w:rPr>
        <w:t xml:space="preserve"> u. c.) un dažādos šķīdinātājos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deklarētā satura pieļaujamā novirze ir 1/10 no to kopējā satura, maksimālā novirze – 2 % no masas, ja kopējais attiecīgā augu barības elementa saturs atbilst Ministru kabineta 2015. gada 1. septembra noteikumu Nr. 506 "Mēslošanas līdzekļu un substrātu identifikācijas, kvalitātes atbilstības novērtēšanas un tirdzniecības noteikumi" (turpmāk – noteikumi) 1. pielikumā minētajām prasībām un šajā pielikumā norādītajai negatīvajai novirzei.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1. pielikuma H sadaļā minētajiem mēslošanas līdzekļiem augu barības elementu deklarētā satura pieļaujamā novirze ir 0,4 masas procenti, ja elementa saturs mēslošanas līdzeklī pārsniedz 2 %, un 1/5 no deklarētā satura, ja elementa saturs mēslošanas līdzeklī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šajā pielikumā nav noteikts citādi, tad attiecīgā deklarētā rādītāja pieļaujamā negatīvā novirze ir 1/5 no deklarētās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Šā pielikuma 13.4., 13.5. un 13.6. apakšpunktā deklarētajiem rādītājiem tiek piemērota negatīvā un pozitīvā novirze. Negatīvā un pozitīvā novirze netiek piemērota, ja šie deklarētie rādītāji substrāta marķējumā ir norādīti amplitūdā.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Pieļaujamās novirzes nenoapaļo."</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noteikumu_(grozījumu)_projekts_p2_24-TA-2091.docx</dc:title>
</cp:coreProperties>
</file>

<file path=docProps/custom.xml><?xml version="1.0" encoding="utf-8"?>
<Properties xmlns="http://schemas.openxmlformats.org/officeDocument/2006/custom-properties" xmlns:vt="http://schemas.openxmlformats.org/officeDocument/2006/docPropsVTypes"/>
</file>