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28.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Videi kaitīgu preču atkritumu savākšanas, sagatavošanas atkārtotai izmantošanai vai pārstrādes un reģenerācijas apjomi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Videi kaitīgu preču atkritumu savākšanas un reģenerācijas apjomi (izņemot riepas)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3772"/>
        <w:gridCol w:w="2526"/>
        <w:gridCol w:w="2622"/>
        <w:tblGridChange w:id="0">
          <w:tblGrid>
            <w:gridCol w:w="419"/>
            <w:gridCol w:w="3772"/>
            <w:gridCol w:w="2526"/>
            <w:gridCol w:w="26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kaitīgas preces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kaitīgu preču atkritumu pieņemšanas vai savākšanas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realizēto vai savas saimnieciskās darbības nodrošināšanai ievesto un izmantoto videi kaitīgu preču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kaitīgu preču atkritumu reģenerētais (tai skaitā atkārtotai izmantošanai sagatavotais un pārstrādātais)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pieņemto vai savākto (pārstrādes iekārtā nogādāto) videi kaitīgu preču atkritumu apjomu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Smēreļļas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Ozona slāni noārdošās vielas (piemēram, freoni, haloni), par kurām jāmaksā dabas resursu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filtri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Attiecīgajā gadā, ja pārskata periods sakrīt ar kalendāra gadu.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Nolietotu visu veidu riepu savākšanas un reģenerācijas apjomi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76"/>
        <w:gridCol w:w="5976"/>
        <w:gridCol w:w="5976"/>
        <w:gridCol w:w="5976"/>
        <w:gridCol w:w="5976"/>
        <w:gridCol w:w="1185"/>
        <w:gridCol w:w="2239"/>
        <w:gridCol w:w="2239"/>
        <w:tblGridChange w:id="0">
          <w:tblGrid>
            <w:gridCol w:w="5976"/>
            <w:gridCol w:w="5976"/>
            <w:gridCol w:w="5976"/>
            <w:gridCol w:w="5976"/>
            <w:gridCol w:w="5976"/>
            <w:gridCol w:w="1185"/>
            <w:gridCol w:w="2239"/>
            <w:gridCol w:w="2239"/>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Nolietotu riepu pieņemšanas vai savākšanas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realizēto vai savas saimnieciskās darbības nodrošināšanai ievesto un izmantoto riepu apjomu</w:t>
            </w:r>
            <w:r w:rsidR="00000000" w:rsidRPr="00000000" w:rsidDel="00000000">
              <w:rPr>
                <w:vertAlign w:val="superscript"/>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Nolietotu riepu reģenerētais (tai skaitā atkārtotai izmantošanai sagatavotais un pārstrādātais) apjoms līdz 31. decembrim (%) attiecībā pret attiecīgajā pārskata periodā</w:t>
            </w:r>
            <w:r w:rsidR="00000000" w:rsidRPr="00000000" w:rsidDel="00000000">
              <w:rPr>
                <w:vertAlign w:val="superscript"/>
                <w:rtl w:val="0"/>
              </w:rPr>
              <w:t xml:space="preserve">1 </w:t>
            </w:r>
            <w:r w:rsidR="00000000" w:rsidRPr="00000000" w:rsidDel="00000000">
              <w:rPr>
                <w:rtl w:val="0"/>
              </w:rPr>
              <w:t xml:space="preserve">pieņemto vai savākto (pārstrādes iekārtā nogādāto) nolietotu riepu apjomu</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2020. gada 31. decembrim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Nolietotu riepu reģenerētais (tai skaitā atkārtotai izmantošanai sagatavotais un pārstrādātais)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pieņemto vai savākto (pārstrādes iekārtā nogādāto) nolietotu riepu apjomu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2021. gada 30. jūnijam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2021. gada 1. jūlija līdz 2022. gada 31. decembrim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2023. gada 1. janvāra līdz 2023. gada 31. decembrim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2024. gada 1. janvāra līdz 2024.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un no 2025. gada 1. janvāra līdz 2025. gada 31. decembrim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2026. gada 1. janvāra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2021. gada 30. jūnijam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2021. gada 1. jūlija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2</w:t>
      </w:r>
      <w:r w:rsidR="00000000" w:rsidRPr="00000000" w:rsidDel="00000000">
        <w:rPr>
          <w:rtl w:val="0"/>
        </w:rPr>
        <w:t xml:space="preserve"> No 2021. gada līdz 2025. gadam nolietotu riepu pieņemtajā vai savāktajā apjomā ieskaita arī iepriekšējos gados Latvijas Republikas teritorijā uzkrāto nolietotu riepu apjomu no vietām, par kurām ir informācija dienestā un ko apliecina pēc dienesta kontroles sagatavots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Bateriju un akumulatoru atkritumu savākšanas un pārstrādes apjomi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3101"/>
        <w:gridCol w:w="3197"/>
        <w:gridCol w:w="2622"/>
        <w:tblGridChange w:id="0">
          <w:tblGrid>
            <w:gridCol w:w="419"/>
            <w:gridCol w:w="3101"/>
            <w:gridCol w:w="3197"/>
            <w:gridCol w:w="26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kaitīgas preces – elektriskie akumulatori un galvaniskie strāvas avoti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Bateriju un akumulatoru atkritumu pieņemšanas vai savākšanas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realizēto vai savas saimnieciskās darbības nodrošināšanai ievesto un izmantoto bateriju un akumulatoru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Pārstrādātais bateriju un akumulatoru atkritumu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pieņemto vai savākto (pārstrādes iekārtā nogādāto) bateriju un akumulatoru atkritumu apjomu</w:t>
            </w:r>
            <w:r w:rsidR="00000000" w:rsidRPr="00000000" w:rsidDel="00000000">
              <w:rPr>
                <w:sz w:val="20"/>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Svinu saturoši elektriskie akumulatori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(Ni-Cd)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Galvaniskie elementi un galvaniskās baterijas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(Fe-Ni)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fotoelementu paneļu saražotās strāvas uzkrāšanai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elektriskie akumulatori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sz w:val="20"/>
          <w:rtl w:val="0"/>
        </w:rPr>
        <w:t xml:space="preserve">3</w:t>
      </w:r>
      <w:r w:rsidR="00000000" w:rsidRPr="00000000" w:rsidDel="00000000">
        <w:rPr>
          <w:rtl w:val="0"/>
        </w:rPr>
        <w:t xml:space="preserve"> Bateriju un akumulatoru pārstrādes procesu efektivitāti nosaka atbilstoši Eiropas Komisijas 2012. gada 11. jūnija Regulai Nr. 493/2012, ar ko saskaņā ar Eiropas Parlamenta un Padomes Direktīvu 2006/66/EK paredz sīki izstrādātus noteikumus attiecībā uz bateriju un akumulatoru atkritumu pārstrādes procesu pārstrādes mērķlielumu aprēķināšanu. Ražotājs un ražotāja paplašinātās atbildības sistēmas komersants (apsaimniekotājs) datus par Ni-Cd un Fe-Ni akumulatoriem uzkrāj un sniedz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Elektrisko un elektronisko iekārtu savākšanas, sagatavošanas atkārtotai izmantošanai vai pārstrādes un reģenerācijas apjomi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2431"/>
        <w:gridCol w:w="2335"/>
        <w:gridCol w:w="2335"/>
        <w:gridCol w:w="2047"/>
        <w:gridCol w:w="2143"/>
        <w:tblGridChange w:id="0">
          <w:tblGrid>
            <w:gridCol w:w="323"/>
            <w:gridCol w:w="2431"/>
            <w:gridCol w:w="2335"/>
            <w:gridCol w:w="2335"/>
            <w:gridCol w:w="2047"/>
            <w:gridCol w:w="214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kaitīgas preces – elektriskās un elektroniskās iekārtas atbilstoši normatīvajiem aktiem par elektrisko un elektronisko iekārtu kategorijām un marķēšanas prasībām un šo iekārtu atkritumu apsaimniekošanas prasībām un kārtību</w:t>
            </w:r>
            <w:r w:rsidR="00000000" w:rsidRPr="00000000" w:rsidDel="00000000">
              <w:rPr>
                <w:vertAlign w:val="superscript"/>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atkritumu pieņemšanas vai savākšanas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realizēto vai savas saimnieciskās darbības nodrošināšanai ievesto un izmantoto elektrisko un elektronisko iekārtu apjomu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atkritumu apjoms, kas sagatavots atkārtotai izmantošanai vai pārstrādāts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pieņemto vai savākto (pārstrādes iekārtā nogādāto) elektrisko un elektronisko iekārtu atkritumu apjomu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Reģenerētais elektrisko un elektronisko iekārtu atkritumu (tajā skaitā atkārtotai izmantošanai sagatavotais un pārstrādātais) apjoms līdz 31. decembrim (%) attiecībā pret attiecīgajā pārskata periodā</w:t>
            </w:r>
            <w:r w:rsidR="00000000" w:rsidRPr="00000000" w:rsidDel="00000000">
              <w:rPr>
                <w:vertAlign w:val="superscript"/>
                <w:rtl w:val="0"/>
              </w:rPr>
              <w:t xml:space="preserve">1</w:t>
            </w:r>
            <w:r w:rsidR="00000000" w:rsidRPr="00000000" w:rsidDel="00000000">
              <w:rPr>
                <w:rtl w:val="0"/>
              </w:rPr>
              <w:t xml:space="preserve"> pieņemto vai savākto (pārstrādes iekārtā nogādāto) elektrisko un elektronisko iekārtu atkritumu apjomu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2021. gada 30. jūnijam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2021. gada 1. jūlija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nekā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Fotoelementu paneļi un invertori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sz w:val="20"/>
          <w:rtl w:val="0"/>
        </w:rPr>
        <w:t xml:space="preserve">4</w:t>
      </w:r>
      <w:r w:rsidR="00000000" w:rsidRPr="00000000" w:rsidDel="00000000">
        <w:rPr>
          <w:rtl w:val="0"/>
        </w:rPr>
        <w:t xml:space="preserve"> Elektrisko un elektronisko iekārtu atkritumu savākšanu, sagatavošanu atkārtotai izmantošanai vai pārstrādi un reģenerāciju uzskata par izpildītu, ja nodrošināta visu elektrisko un elektronisko iekārtu kategoriju atkritumu savākšana, sagatavošana atkārtotai izmantošanai vai pārstrāde un reģenerācija."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22-TA-2794</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22-TA-2794</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noteikumu_(grozījumu)_projekts_p1_22-TA-2794.docx</dc:title>
</cp:coreProperties>
</file>

<file path=docProps/custom.xml><?xml version="1.0" encoding="utf-8"?>
<Properties xmlns="http://schemas.openxmlformats.org/officeDocument/2006/custom-properties" xmlns:vt="http://schemas.openxmlformats.org/officeDocument/2006/docPropsVTypes"/>
</file>