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453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jūlijā (prot. Nr. 28 41.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 oktobra noteikumos Nr. 464 "Noteikumi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 oktobra noteikumos Nr. 464 "Noteikumi par Iekšlietu ministrijas sistēmas iestāžu un Ieslodzījuma vietu pārvaldes amatpersonu ar speciālajām dienesta pakāpēm formas tērpa un atšķirības zīmju aprakstu" (Latvijas Vēstnesis, 2019, 204. nr.; 2021, 32., 165. nr.; 2022, 61.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Valsts policijas un Valsts policijas koledžas amatpersonu formas tērpu un atšķirības zīmes, kuru apraksts noteikts šo noteikumu 3., 3.</w:t>
      </w:r>
      <w:r w:rsidR="00000000" w:rsidRPr="00000000" w:rsidDel="00000000">
        <w:rPr>
          <w:vertAlign w:val="superscript"/>
          <w:rtl w:val="0"/>
        </w:rPr>
        <w:t xml:space="preserve">1</w:t>
      </w:r>
      <w:r w:rsidR="00000000" w:rsidRPr="00000000" w:rsidDel="00000000">
        <w:rPr>
          <w:rtl w:val="0"/>
        </w:rPr>
        <w:t xml:space="preserve"> un 4. pielikumā, ievieš līdz 2025. gada 1. jūlijam. Līdz pilnīgai Valsts policijas un Valsts policijas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robežsardzes un Valsts robežsardzes koledžas amatpersonu formas tērpu un atšķirības zīmes, kuru apraksts noteikts šo noteikumu 5. un 6. pielikumā, ievieš līdz 2026. gada 31. decembrim. Līdz pilnīgai Valsts robežsardzes un Valsts robežsardzes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Valsts ugunsdzēsības un glābšanas dienesta un Ugunsdrošības un civilās aizsardzības koledžas amatpersonu formas tērpu un atšķirības zīmes, kuru apraksts noteikts šo noteikumu 8. un 9. pielikumā, ievieš līdz 2026. gada 31. decembrim. Līdz pilnīgai Valsts ugunsdzēsības un glābšanas dienesta un Ugunsdrošības un civilās aizsardzības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22-TA-2703</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22-TA-2703</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noteikumu_(grozījumu)_projekts_22-TA-2703.docx</dc:title>
</cp:coreProperties>
</file>

<file path=docProps/custom.xml><?xml version="1.0" encoding="utf-8"?>
<Properties xmlns="http://schemas.openxmlformats.org/officeDocument/2006/custom-properties" xmlns:vt="http://schemas.openxmlformats.org/officeDocument/2006/docPropsVTypes"/>
</file>