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staciju (AGUS) tvertnes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Zemes kadastrālās vērtības aprēķinā izvērtējamie apgrūtinājumi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lietošanas mērķu grupām "Lauksaimniecības zeme", "Mežsaimniecības zeme un īpaši aizsargājamās dabas teritorijas, kurās saimnieciskā darbība ir aizliegta ar normatīvo aktu" un "Ūdens objektu zeme", tai skaitā pilsētās.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noteikumu_konsolidētā_versija_p3_24-TA-1466.docx</dc:title>
</cp:coreProperties>
</file>

<file path=docProps/custom.xml><?xml version="1.0" encoding="utf-8"?>
<Properties xmlns="http://schemas.openxmlformats.org/officeDocument/2006/custom-properties" xmlns:vt="http://schemas.openxmlformats.org/officeDocument/2006/docPropsVTypes"/>
</file>