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318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27. maijā (prot. Nr. 21 36.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w:t>
      </w:r>
      <w:r w:rsidR="00000000" w:rsidRPr="00000000" w:rsidDel="00000000">
        <w:rPr>
          <w:rStyle w:val="paragraph"/>
          <w:i w:val="1"/>
          <w:rtl w:val="0"/>
        </w:rPr>
        <w:t xml:space="preserve"> </w:t>
      </w:r>
      <w:r w:rsidR="00000000" w:rsidRPr="00000000" w:rsidDel="00000000">
        <w:rPr>
          <w:rStyle w:val="paragraph"/>
          <w:i w:val="1"/>
          <w:rtl w:val="0"/>
        </w:rPr>
        <w:t xml:space="preserve">19. panta</w:t>
      </w:r>
      <w:r w:rsidR="00000000" w:rsidRPr="00000000" w:rsidDel="00000000">
        <w:rPr>
          <w:rStyle w:val="paragraph"/>
          <w:i w:val="1"/>
          <w:rtl w:val="0"/>
        </w:rPr>
        <w:t xml:space="preserve">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5.1.1.9. pasākumu "Objektu (patvertņu) pielāgošana un aprīkošana civilās aizsardzības mērķiem"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 kā arī nosacījumus, kas jāievēro, lai saņemtu komercdarbības atbalstu;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Reģionālās attīstības fonda finansējumu pasākuma ietvaros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Pasākumā piemērota teritoriālā pieeja, veicot ieguldījumus pilsētu funkcionālajās teritorijās, kas noteiktas plānošanas reģionu attīstības programmās.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tiek atbalstīti Ministru kabineta rīkojumā par civilās aizsardzības mērķiem pielāgojamiem un aprīkojamiem objektiem (patvertnēm) (turpmāk – Ministru kabineta rīkojums) ietvertie objekti. Ministru kabineta rīkojumā norāda informāciju par projekta iesniedzēju, atbalstāmajiem objektiem, Eiropas Reģionālās attīstības fonda finansējumu un sasniedzamajām iznākuma rādītāja vērtībām.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Pēc Ministru kabineta rīkojuma izdošanas sadarbības iestāde izsludina ierobežotu projektu iesniegumu atlasi un nosūta Ministru kabineta rīkojumā norādītājiem projektu iesniedzējiem uzaicinājumu atlases nolikumā noteiktajā kārtībā iesniegt projektu iesniegumus par prioritāri atbalstāmajiem civilās aizsardzības mērķiem pielāgojamiem un aprīkojamiem objektiem (patvertnēm).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atbildīgās iestādes funkcijas pilda Viedās administrācijas un reģionālās attīstības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Nodrošinot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nosacījumu izpildi, projektu iesniegumu vērtēšanas komisijā piedalās attiecīgā plānošanas reģiona pārstāvis.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Projektu iesniegumu vērtēšanas komisijā piedalās Valsts ugunsdzēsības un glābšanas dienesta pārstāvis, lai vērtētu projektu ietvaros attīstāmo objektu atbilstību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minētajām prasībām. Pēc sadarbības iestādes pieprasījuma Valsts ugunsdzēsības un glābšanas dienests sniedz viedokli par objektu atbilstību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minētajām prasībām projekta ieviešanas vai pēcuzraudzības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īstenošanas vieta ir Latvijas Republika.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Pasākuma mērķis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mērķis ir esošu telpu pārbūve vai atjaunošana, pielāgojot tās III kategorijas patvertņu ierīkošanai, kas paredzētas cilvēku aizsardzībai no bīstamiem faktoriem, mazinot ārēja sprādziena triecienviļņa un šķembu ietekmi, kas rodas katastrofas, militāra iebrukuma vai kara gadījumā.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mērķa grupa ir Latvijas Republikas iedzīvotāji.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Pasākumu īsteno līdz 2029. gada 31. decembrim, sasniedzot šādu iznākuma rādītāju – civilās aizsardzības mērķiem pielāgoti un aprīkoti vismaz 500 objekti.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Objekta atbilstību III kategorijas patvertnes prasībām nodrošina, izpildot vismaz šādas funkcionālās prasības: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prasības attiecībā uz drošības apstākļiem patvertnes telpās vai telpu grupās: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sienas un griesti ir veidoti no dzelzsbetona, blokiem, ķieģeļiem vai citiem līdzīgas izturības materiāliem;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ieejām ir nodrošināti apstākļi, kas mazina ārēju iedarbību un ietekmi no sprādziena triecienviļņiem un šķembām;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atverēm (tai skaitā logiem) ir nodrošinātas aizsargvairoga konstrukcijas vai citi risinājumi ēkas atveru aizsegšanai apdraudējuma gadījumā;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nodrošināti apstākļi, kas ikdienā patvertnei neļauj applūst (tai skaitā gruntsūdeņu, virszemes ūdeņu, tehnoloģisko ūdeņu vai notekūdeņu ietekmē);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telpu apdarei ir izmantoti degtnespējīgi un nedrūpoši materiāli;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patvertne ir izvietota pagrabstāvā vai pazemes stāvā, vai cokolstāvā, ja cokolstāva pazemes daļa ir vismaz 1,5 metri, izņemot gadījumu, ja objekts vēsturiski ir uzskatāms par civilās aizsardzības aizsargbūvi;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attiecībā uz piekļūstamību telpām vai telpu grupām: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personām ar ierobežotām pārvietošanās spējām ir nodrošināta iespēja iekļūt telpās patstāvīgi vai ar palīdzību;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nodrošinātas divas vai vairākas izejas vai alternatīva avārijas izeja (piemēram, logs vai lūka), izņemot gadījumu, ja patvertnes lietderīgā platība ir mazāka par 250 kvadrātmetriem;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patvertnes ieejas ir noslēgtas, lai mazinātu dūmu, putekļu un citu piesārņotāju iekļūšanu, un ieejas durvis ir izgatavotas no degtnespējīgiem materiāliem;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elektroapgādes un apgaismojuma prasības – telpas vai telpu grupas ir nodrošinātas ar apgaismojumu (tai skaitā elektroenerģijas padeves traucējumu vai pārtraukuma gadījumā);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ventilācijas un gaisa kvalitātes prasības – telpās vai telpu grupās ir nodrošināta ventilācija (tai skaitā elektroenerģijas padeves traucējumu vai pārtraukuma gadījumā);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sanitārās un higiēnas prasības telpās vai telpu grupās: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nodrošināti sanitārajām un higiēnas prasībām atbilstoši apstākļi, tai skaitā nodrošināta pieejamība dzeramajam ūdenim;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nodrošināts atkritumu savākšanas risinājums;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uzturēšanās komforta prasības telpās vai telpu grupās: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nodrošināta iespēja izmantot personīgās mobilo sakaru ierīces, ja nav traucēta mobilo sakaru operatoru darbība;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nodrošināta iespēja uzlādēt elektroierīces;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ugunsdrošības prasības – telpās vai telpu grupās ir nodrošināts ugunsdrošības risinājums, tai skaitā uzstādīti dūmu detektori un pieejami ugunsdzēsības pārklāji;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pirmās medicīniskās palīdzības prasības – telpās vai telpu grupās ir nodrošināta medicīniskā pirmās palīdzības aptieciņa;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informācijas piekļūstamības prasības – ēka ir aprīkota ar vizuālu zīmi, kas vēsta, ka ēkā atrodas patvertne, tai skaitā, ja iespējams, pievienota norāžu plāksne vai zīme Braila rakstā un starptautiskā invaliditātes zīme;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objekta darba organizācijas prasības – ir izstrādāta kārtība, kādā tiek nodrošināta piekļūstamība patvertnei, patvertnes izmantošana un uzturēšanās patvertnē, un darba organizēšanas kārtība patvertnes izmantošanai civilajai aizsardzībai katastrofas, militāra iebrukuma vai kara gadījumā.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Pasākumam pieejamais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ietvaros pieejamais kopējais attiecināmais finansējums ir ne mazāks kā 26 113 520 </w:t>
      </w:r>
      <w:r w:rsidR="00000000" w:rsidRPr="00000000" w:rsidDel="00000000">
        <w:rPr>
          <w:i w:val="1"/>
          <w:rtl w:val="0"/>
        </w:rPr>
        <w:t xml:space="preserve">euro</w:t>
      </w:r>
      <w:r w:rsidR="00000000" w:rsidRPr="00000000" w:rsidDel="00000000">
        <w:rPr>
          <w:rtl w:val="0"/>
        </w:rPr>
        <w:t xml:space="preserve">, tai skaitā Eiropas Reģionālās attīstības fonda finansējums 22 196 492 </w:t>
      </w:r>
      <w:r w:rsidR="00000000" w:rsidRPr="00000000" w:rsidDel="00000000">
        <w:rPr>
          <w:i w:val="1"/>
          <w:rtl w:val="0"/>
        </w:rPr>
        <w:t xml:space="preserve">euro </w:t>
      </w:r>
      <w:r w:rsidR="00000000" w:rsidRPr="00000000" w:rsidDel="00000000">
        <w:rPr>
          <w:rtl w:val="0"/>
        </w:rPr>
        <w:t xml:space="preserve">un nacionālais finansējums (valsts budžeta finansējums, pašvaldību finansējums) ne mazāks kā 3 917 028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Eiropas Reģionālās attīstības fonda finansējums projektā nepārsniedz 85 procentus no projekta kopējām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iesniedzēja finansējums ir ne mazāks kā 15 procenti no projekta kopējām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minētais projekta iesniedzējs iesniedz vienu vai vairākus projektus, ievērojot, ka projektos paredzētais Eiropas Reģionālās attīstības fonda finansējums nepārsniedz Ministru kabineta rīkojumā norādīto finansējumu un projektos plānotā iznākuma rādītāja vērtība nav mazāka par Ministru kabineta rīkojumā norādīto iznākuma rādītāja vērtību.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sadarbības iestādei ir pieejami valsts budžeta līdzekļi, tā pēc civiltiesiskā līguma vai vienošanās par projekta īstenošanu noslēgšanas var piešķirt finansējuma saņēmējam avansu, pamatojoties uz finansējuma saņēmēja rakstisku avansa pieprasījumu un izvērtējot plānotā avansa apmēru un tā pamatojumu. Finansējuma saņēmējs avansa pieprasījumu sagatavo un sadarbības iestāde apstiprina, ņemot vērā, ka plānotā avansa apmērs atbilst spējai to izlietot sešu mēnešu laikā saimnieciskā gada ietvaros (piemēram, finansējuma saņēmējam ir pabeigts preču vai pakalpojumu iepirkums vai noslēgts piegādes vai pakalpojuma līgums). Finansējuma saņēmējam avansu var piešķirt līdz 50 procentiem no projektam piešķirtā Eiropas Reģionālās attīstības fonda finansējuma un valsts budžeta līdzfinansējuma kopsummas, ievērojot, ka avansu var izmaksāt vairākos maksājumos un avansa un starpposma maksājumu kopsumma nepārsniedz 90 procentus no projektam piešķirtā Eiropas Reģionālās attīstības fonda finansējuma un valsts budžeta līdzfinansējuma kopsummas. Ja finansējuma saņēmējs ir valsts kapitālsabiedrība vai valsts budžeta daļēji finansēta atvasināta publiska persona, kas projektu īsteno tai deleģēto valsts pārvaldes uzdevumu ietvaros, avansa un starpposma maksājumu kopsumma var būt 100 procenti no projektam piešķirtā Eiropas Reģionālās attīstības fonda finansējuma un valsts budžeta līdzfinansējuma kopsummas.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Prasības projekta iesniedzējam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iesniedzējs ir valsts tiešās pārvaldes iestāde, pašvaldība vai tās izveidota iestāde, valsts vai pašvaldības kapitālsabiedrība vai valsts zinātniskā institūcija.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iesniedzējs, kas pēc projekta apstiprināšanas ir finansējuma saņēmējs, sagatavo projekta iesniegumu atbilstoši projektu iesniegumu atlases nolikumā noteiktajām prasībām un iesniedz to sadarbības iestādē, izmantojot Kohēzijas politikas fondu vadības informācijas sistēmu.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Atbalstāmo darbību un izmaksu attiecināmības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Projektā iekļauj šādas atbalstāmās darbības, kas sekmē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minētā mērķa un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minētā iznākuma rādītāja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esošu telpu pārbūve vai atjaunošana atbilstoši III kategorijas patvertnes funkcionālajām prasībām;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telpu aprīkošana atbilstoši III kategorijas patvertnes funkcionālajām prasībām;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komunikācijas un vizuālās identitātes pasākumi par projekta īstenošanu.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Pasākuma ietvaros atbalstāmas šādas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tiešās attiecināmās izmaksas, kas ir tieši saistītas ar projekta īstenošanu un nepieciešamas telpu pārbūvei vai atjaunošanai un aprīkošanai atbilstoši III kategorijas patvertnes funkcionālajām prasībām, ir: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personāla izmaksas, kuras saskaņā ar Eiropas Parlamenta un Padomes 2021. gada 24. jūnija Regulas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w:t>
      </w:r>
      <w:r w:rsidR="00000000" w:rsidRPr="00000000" w:rsidDel="00000000">
        <w:rPr>
          <w:rtl w:val="0"/>
        </w:rPr>
        <w:t xml:space="preserve">2021/1060</w:t>
      </w:r>
      <w:r w:rsidR="00000000" w:rsidRPr="00000000" w:rsidDel="00000000">
        <w:rPr>
          <w:rtl w:val="0"/>
        </w:rPr>
        <w:t xml:space="preserve">), 55. panta 1. punktu projekta iesniegumā plāno kā vienu izmaksu pozīciju, piemērojot izmaksu vienoto likmi 20 procentu apmērā no šo noteikumu </w:t>
      </w:r>
      <w:r w:rsidR="00000000" w:rsidRPr="00000000" w:rsidDel="00000000">
        <w:rPr>
          <w:rtl w:val="0"/>
        </w:rPr>
        <w:t xml:space="preserve">24.2.</w:t>
      </w:r>
      <w:r w:rsidR="00000000" w:rsidRPr="00000000" w:rsidDel="00000000">
        <w:rPr>
          <w:rtl w:val="0"/>
        </w:rPr>
        <w:t xml:space="preserve">, </w:t>
      </w:r>
      <w:r w:rsidR="00000000" w:rsidRPr="00000000" w:rsidDel="00000000">
        <w:rPr>
          <w:rtl w:val="0"/>
        </w:rPr>
        <w:t xml:space="preserve">24.3.</w:t>
      </w:r>
      <w:r w:rsidR="00000000" w:rsidRPr="00000000" w:rsidDel="00000000">
        <w:rPr>
          <w:rtl w:val="0"/>
        </w:rPr>
        <w:t xml:space="preserve">, </w:t>
      </w:r>
      <w:r w:rsidR="00000000" w:rsidRPr="00000000" w:rsidDel="00000000">
        <w:rPr>
          <w:rtl w:val="0"/>
        </w:rPr>
        <w:t xml:space="preserve">24.4.</w:t>
      </w:r>
      <w:r w:rsidR="00000000" w:rsidRPr="00000000" w:rsidDel="00000000">
        <w:rPr>
          <w:rtl w:val="0"/>
        </w:rPr>
        <w:t xml:space="preserve">, </w:t>
      </w:r>
      <w:r w:rsidR="00000000" w:rsidRPr="00000000" w:rsidDel="00000000">
        <w:rPr>
          <w:rtl w:val="0"/>
        </w:rPr>
        <w:t xml:space="preserve">24.5.</w:t>
      </w:r>
      <w:r w:rsidR="00000000" w:rsidRPr="00000000" w:rsidDel="00000000">
        <w:rPr>
          <w:rtl w:val="0"/>
        </w:rPr>
        <w:t xml:space="preserve">, </w:t>
      </w:r>
      <w:r w:rsidR="00000000" w:rsidRPr="00000000" w:rsidDel="00000000">
        <w:rPr>
          <w:rtl w:val="0"/>
        </w:rPr>
        <w:t xml:space="preserve">24.6.</w:t>
      </w:r>
      <w:r w:rsidR="00000000" w:rsidRPr="00000000" w:rsidDel="00000000">
        <w:rPr>
          <w:rtl w:val="0"/>
        </w:rPr>
        <w:t xml:space="preserve"> un </w:t>
      </w:r>
      <w:r w:rsidR="00000000" w:rsidRPr="00000000" w:rsidDel="00000000">
        <w:rPr>
          <w:rtl w:val="0"/>
        </w:rPr>
        <w:t xml:space="preserve">24.7. </w:t>
      </w:r>
      <w:r w:rsidR="00000000" w:rsidRPr="00000000" w:rsidDel="00000000">
        <w:rPr>
          <w:rtl w:val="0"/>
        </w:rPr>
        <w:t xml:space="preserve">apakšpunktā</w:t>
      </w:r>
      <w:r w:rsidR="00000000" w:rsidRPr="00000000" w:rsidDel="00000000">
        <w:rPr>
          <w:rtl w:val="0"/>
        </w:rPr>
        <w:t xml:space="preserve"> minētajām pārējām projekta tiešajām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iesniegumu pamatojošās dokumentācijas sagatavošanas izmaksas (izņemot projekta iesnieguma veidlapas aizpildīšanas izmaksas), tai skaitā būvniecības ieceres dokumentācijas izstrāde visām projektā paredzētajām būvniecības darbībām, tehniskās apsekošanas, izpētes un ekspertīzes izmaksas, ja to veikšana ir priekšnosacījums būvniecības ieceres dokumentācijas izstrādei;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telpu attīrīšanas izmaksas, tai skaitā būvgružu izvešanas un utilizācijas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izmaksas, kas saistītas ar telpu pārbūvi vai atjaunošanu atbilstoši III kategorijas patvertnes funkcionālajām prasībām,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telpām vai telpu grupām nepieciešamās elektroenerģijas pieejamības nepārtrauktības infrastruktūras (tostarp inženiertīklu pievadu) izbūve, pārbūve vai atjaunošana;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telpu vai telpu grupu ieejas durvju, lūku un citu evakuācijas ceļu risinājumu izveide vai esošo aizvietošana ar tādiem, kas ir ugunsizturīgi vai veidoti no degtnespējīgiem materiāliem, tai skaitā būvniecība, kas nodrošina ārēja sprādziena triecienviļņa ietekmes mazināšanu;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telpu vai telpu grupu logu un tehnisko atveru nodrošināšana ar aizsargvairoga konstrukcijām vai citiem alternatīviem risinājumiem, kas nodrošina ārējas ietekmes mazināšanu sprādziena gadījumā;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telpu vai telpu grupu esošo sanitārtehnisko telpu pārbūve vai atjaunošana, kā arī norobežojumu izveide telpās alternatīvu sanitārtehnisko risinājumu (piemēram, sauso tualešu) ierīkošanai;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iekšējo konstrukciju (izņemot nesošās konstrukcijas) demontāžas darbi, tai skaitā starpsienu nojaukšana;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risinājumi telpu vai telpu grupu piekļūstamības nodrošināšanai (patstāvīgi vai ar citu personu vai palīglīdzekļu palīdzību) personām ar ierobežotām pārvietošanās spējām;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telpām vai telpu grupām nepieciešamās ventilācijas (mehāniskās vai dabīgās) sistēmas atjaunošana vai pārbūve;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telpām vai telpu grupām nepieciešamās dzeramā ūdens apgādes sistēmas atjaunošana vai pārbūve;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pasākumi, kas saistīti ar objekta nodošanu ekspluatācijā;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izmaksas, kas saistītas ar III kategorijas patvertnes funkcionālajām prasībām atbilstoša telpu vai telpu grupu aprīkojuma iegādi un uzstādīšanu,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elektroenerģijas autonomas ražošanas un uzglabāšanas iekārtu iegāde un uzstādīšana vai citi alternatīvi elektroenerģijas padeves risinājumi;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sanitārtehniskā aprīkojuma iegāde un uzstādīšana (piemēram, sausās tualetes, tualešu teltis un citi autonomi tualešu risinājumi un to darbības nodrošināšanas papildaprīkojums), tai skaitā atbilstoši pielāgots aprīkojums personām ar kustību ierobežojumiem un, ja iespējams, aprīkojums mazu bērnu aprūpei;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autonomu dūmu detektoru un ugunsdzēsības pārklāju iegāde;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medicīnisko materiālu iegāde pirmās palīdzības aptieciņai;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atkritumu savākšanas un šķirošanas tvertņu iegāde;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sēdēšanai un gulēšanai paredzēta aprīkojuma (piemēram, solu, krēslu, gultu) iegāde un uzstādīšana;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apgaismojuma avota (tai skaitā autonoma apgaismojuma risinājuma) aprīkojuma iegāde un uzstādīšana;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interneta tīkla maršrutētāja iegāde un uzstādīšana;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aprīkojuma mobilo sakaru nodrošināšanai telpās vai telpu grupās iegāde un uzstādīšana;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elektroierīču uzlādei paredzēta aprīkojuma iegāde, kas nepieciešams patvertnes funkciju nodrošināšanai;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darba instrumentu (piemēram, lāpstas, liekšķeres, laužņi, cirvji, zāģi, iekārtas armatūras pārgriešanai) iegāde, lai nodrošinātu iespēju atbrīvot telpu vai telpu grupu ieeju un izeju no gruvešiem;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patvertnes norādes zīmes (tai skaitā norāžu plāksnes vai zīmes Braila rakstā un starptautiskās invaliditātes zīmes) iegāde un uzstādīšana;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autoruzraudzības un būvuzraudzības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projekta darbībām tieši saistīto komunikācijas un vizuālās identitātes prasību nodrošināšanas pasākumu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23.2. </w:t>
      </w:r>
      <w:r w:rsidR="00000000" w:rsidRPr="00000000" w:rsidDel="00000000">
        <w:rPr>
          <w:rtl w:val="0"/>
        </w:rPr>
        <w:t xml:space="preserve">apakšpunktā</w:t>
      </w:r>
      <w:r w:rsidR="00000000" w:rsidRPr="00000000" w:rsidDel="00000000">
        <w:rPr>
          <w:rtl w:val="0"/>
        </w:rPr>
        <w:t xml:space="preserve"> minētās netiešās attiecināmās izmaksas plāno kā vienu izmaksu pozīciju, piemērojot netiešo izmaksu vienoto likmi 15 procentu apmērā no šo noteikumu </w:t>
      </w:r>
      <w:r w:rsidR="00000000" w:rsidRPr="00000000" w:rsidDel="00000000">
        <w:rPr>
          <w:rtl w:val="0"/>
        </w:rPr>
        <w:t xml:space="preserve">24.1. </w:t>
      </w:r>
      <w:r w:rsidR="00000000" w:rsidRPr="00000000" w:rsidDel="00000000">
        <w:rPr>
          <w:rtl w:val="0"/>
        </w:rPr>
        <w:t xml:space="preserve">apakšpunktā</w:t>
      </w:r>
      <w:r w:rsidR="00000000" w:rsidRPr="00000000" w:rsidDel="00000000">
        <w:rPr>
          <w:rtl w:val="0"/>
        </w:rPr>
        <w:t xml:space="preserve"> minētajām tiešajām attiecināmajām personāla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Neparedzētie izdevumi nepārsniedz piecus procentus no projekta kopējām tiešajām attiecināmajām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uzskatāmi par attiecināmajām izmaksām saskaņā ar regulas 2021/1060 64. panta 1. punkta "c" apakšpunktu, ja vien tie nav atgūstami atbilstoši normatīvajiem aktiem nodokļu politikas jomā.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Pasākuma ietvaros atbalsts esošu telpu pārbūvei vai atjaunošanai, pielāgojot tās III kategorijas patvertņu ierīkošanai, tiek sniegts ar saimniecisko darbību nesaistītu darbību īstenošanai tajās. Ja pasākuma ietvaros pārbūvētās vai atjaunotās, kā arī aprīkotās telpas, kas atbilst III kategorijas patvertnes prasībām, izmanto ar saimniecisko darbību saistītām darbībām, tad sniegtais atbalsts kvalificējams kā komercdarbības atbalsts un tiek piemēroti šo noteikumu </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36.</w:t>
      </w:r>
      <w:r w:rsidR="00000000" w:rsidRPr="00000000" w:rsidDel="00000000">
        <w:rPr>
          <w:rtl w:val="0"/>
        </w:rPr>
        <w:t xml:space="preserve"> un </w:t>
      </w:r>
      <w:r w:rsidR="00000000" w:rsidRPr="00000000" w:rsidDel="00000000">
        <w:rPr>
          <w:rtl w:val="0"/>
        </w:rPr>
        <w:t xml:space="preserve">37. </w:t>
      </w:r>
      <w:r w:rsidR="00000000" w:rsidRPr="00000000" w:rsidDel="00000000">
        <w:rPr>
          <w:rtl w:val="0"/>
        </w:rPr>
        <w:t xml:space="preserve">punktā</w:t>
      </w:r>
      <w:r w:rsidR="00000000" w:rsidRPr="00000000" w:rsidDel="00000000">
        <w:rPr>
          <w:rtl w:val="0"/>
        </w:rPr>
        <w:t xml:space="preserve"> minētie komercdarbības atbalsta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Komercdarbības atbalstu projekta iesniedzējam, kas projektā iekļautajā objektā veic vai pēc projekta īstenošanas plāno veikt saimniecisko darbību, par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minētajām izmaksām sniedz saskaņā ar Komisijas 2023. gada 13. decembra Regulu (ES)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w:t>
      </w:r>
      <w:r w:rsidR="00000000" w:rsidRPr="00000000" w:rsidDel="00000000">
        <w:rPr>
          <w:rtl w:val="0"/>
        </w:rPr>
        <w:t xml:space="preserve">2023/2831</w:t>
      </w:r>
      <w:r w:rsidR="00000000" w:rsidRPr="00000000" w:rsidDel="00000000">
        <w:rPr>
          <w:rtl w:val="0"/>
        </w:rPr>
        <w:t xml:space="preserve">), ievērojot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ievērojot regulas </w:t>
      </w:r>
      <w:r w:rsidR="00000000" w:rsidRPr="00000000" w:rsidDel="00000000">
        <w:rPr>
          <w:rtl w:val="0"/>
        </w:rPr>
        <w:t xml:space="preserve">2023/2831</w:t>
      </w:r>
      <w:r w:rsidR="00000000" w:rsidRPr="00000000" w:rsidDel="00000000">
        <w:rPr>
          <w:rtl w:val="0"/>
        </w:rPr>
        <w:t xml:space="preserve"> 1. panta 1. punktā minētos nozaru un darbības ierobežojumus. Ja komersants vienlaikus darbojas vienā vai vairākās nozarēs vai veic citas darbības, kas neietilpst regulas </w:t>
      </w:r>
      <w:r w:rsidR="00000000" w:rsidRPr="00000000" w:rsidDel="00000000">
        <w:rPr>
          <w:rtl w:val="0"/>
        </w:rPr>
        <w:t xml:space="preserve">2023/2831</w:t>
      </w:r>
      <w:r w:rsidR="00000000" w:rsidRPr="00000000" w:rsidDel="00000000">
        <w:rPr>
          <w:rtl w:val="0"/>
        </w:rPr>
        <w:t xml:space="preserve"> darbības jomā, tas nodrošina šo nozaru darbību vai izmaksu nodalīšanu saskaņā ar regulas </w:t>
      </w:r>
      <w:r w:rsidR="00000000" w:rsidRPr="00000000" w:rsidDel="00000000">
        <w:rPr>
          <w:rtl w:val="0"/>
        </w:rPr>
        <w:t xml:space="preserve">2023/2831</w:t>
      </w:r>
      <w:r w:rsidR="00000000" w:rsidRPr="00000000" w:rsidDel="00000000">
        <w:rPr>
          <w:rtl w:val="0"/>
        </w:rPr>
        <w:t xml:space="preserve"> 1. panta 2. punktu, lai darbības nozarēs, kuras ir izslēgtas no šīs regulas darbības jomas, negūtu labumu no </w:t>
      </w:r>
      <w:r w:rsidR="00000000" w:rsidRPr="00000000" w:rsidDel="00000000">
        <w:rPr>
          <w:i w:val="1"/>
          <w:rtl w:val="0"/>
        </w:rPr>
        <w:t xml:space="preserve">de minimis</w:t>
      </w:r>
      <w:r w:rsidR="00000000" w:rsidRPr="00000000" w:rsidDel="00000000">
        <w:rPr>
          <w:rtl w:val="0"/>
        </w:rPr>
        <w:t xml:space="preserve"> atbalsta, ko piešķir saskaņā ar šo regulu;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 </w:t>
      </w:r>
      <w:r w:rsidR="00000000" w:rsidRPr="00000000" w:rsidDel="00000000">
        <w:rPr>
          <w:i w:val="1"/>
          <w:rtl w:val="0"/>
        </w:rPr>
        <w:t xml:space="preserve">de minimis</w:t>
      </w:r>
      <w:r w:rsidR="00000000" w:rsidRPr="00000000" w:rsidDel="00000000">
        <w:rPr>
          <w:rtl w:val="0"/>
        </w:rPr>
        <w:t xml:space="preserve"> atbalsta piešķiršanas pārbauda, vai projekta iesniedzējam triju gadu periodā līdz atbalsta piešķiršanas brīdim </w:t>
      </w:r>
      <w:r w:rsidR="00000000" w:rsidRPr="00000000" w:rsidDel="00000000">
        <w:rPr>
          <w:i w:val="1"/>
          <w:rtl w:val="0"/>
        </w:rPr>
        <w:t xml:space="preserve">de minimis </w:t>
      </w:r>
      <w:r w:rsidR="00000000" w:rsidRPr="00000000" w:rsidDel="00000000">
        <w:rPr>
          <w:rtl w:val="0"/>
        </w:rPr>
        <w:t xml:space="preserve">atbalsts kopā ar plānoto </w:t>
      </w:r>
      <w:r w:rsidR="00000000" w:rsidRPr="00000000" w:rsidDel="00000000">
        <w:rPr>
          <w:i w:val="1"/>
          <w:rtl w:val="0"/>
        </w:rPr>
        <w:t xml:space="preserve">de minimis </w:t>
      </w:r>
      <w:r w:rsidR="00000000" w:rsidRPr="00000000" w:rsidDel="00000000">
        <w:rPr>
          <w:rtl w:val="0"/>
        </w:rPr>
        <w:t xml:space="preserve">atbalstu nepārsniedz regulas </w:t>
      </w:r>
      <w:r w:rsidR="00000000" w:rsidRPr="00000000" w:rsidDel="00000000">
        <w:rPr>
          <w:rtl w:val="0"/>
        </w:rPr>
        <w:t xml:space="preserve">2023/2831</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Izvērtējot finanšu atbalsta apmēru, vērtē piešķirto </w:t>
      </w:r>
      <w:r w:rsidR="00000000" w:rsidRPr="00000000" w:rsidDel="00000000">
        <w:rPr>
          <w:i w:val="1"/>
          <w:rtl w:val="0"/>
        </w:rPr>
        <w:t xml:space="preserve">de minimis</w:t>
      </w:r>
      <w:r w:rsidR="00000000" w:rsidRPr="00000000" w:rsidDel="00000000">
        <w:rPr>
          <w:rtl w:val="0"/>
        </w:rPr>
        <w:t xml:space="preserve"> atbalstu viena vienota uzņēmuma līmenī. Viens vienots uzņēmums ir tāds uzņēmums, kas atbilst regulas </w:t>
      </w:r>
      <w:r w:rsidR="00000000" w:rsidRPr="00000000" w:rsidDel="00000000">
        <w:rPr>
          <w:rtl w:val="0"/>
        </w:rPr>
        <w:t xml:space="preserve">2023/2831</w:t>
      </w:r>
      <w:r w:rsidR="00000000" w:rsidRPr="00000000" w:rsidDel="00000000">
        <w:rPr>
          <w:rtl w:val="0"/>
        </w:rPr>
        <w:t xml:space="preserve"> 2. panta 2. punktā minētajiem kritērijiem.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un tā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Lēmumu par atbalsta piešķiršanu saskaņā ar regulu </w:t>
      </w:r>
      <w:r w:rsidR="00000000" w:rsidRPr="00000000" w:rsidDel="00000000">
        <w:rPr>
          <w:rtl w:val="0"/>
        </w:rPr>
        <w:t xml:space="preserve">2023/2831</w:t>
      </w:r>
      <w:r w:rsidR="00000000" w:rsidRPr="00000000" w:rsidDel="00000000">
        <w:rPr>
          <w:rtl w:val="0"/>
        </w:rPr>
        <w:t xml:space="preserve"> var pieņemt līdz šīs regulas darbības beigām.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Komercdarbības atbalsta piešķiršanas brīdis ir diena, kad tiek pieņemts sadarbības iestādes lēmums par projekta iesnieguma apstiprināšanu vai izdots atzinums par lēmumā minēto nosacījumu izpildi.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papildu </w:t>
      </w:r>
      <w:r w:rsidR="00000000" w:rsidRPr="00000000" w:rsidDel="00000000">
        <w:rPr>
          <w:i w:val="1"/>
          <w:rtl w:val="0"/>
        </w:rPr>
        <w:t xml:space="preserve">de minimis</w:t>
      </w:r>
      <w:r w:rsidR="00000000" w:rsidRPr="00000000" w:rsidDel="00000000">
        <w:rPr>
          <w:rtl w:val="0"/>
        </w:rPr>
        <w:t xml:space="preserve"> atbalsts tiek piešķirts projekta īstenošanas laikā, par atbalsta piešķiršanas brīdi uzskata dienu, kad tiek parakstīti attiecīgie civiltiesiskā līguma vai vienošanās par projekta īstenošanu grozījumi.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Atbalstu, ko piešķir šo noteikumu ietvaros, var kumulēt ar citu komercdarbības atbalstu un </w:t>
      </w:r>
      <w:r w:rsidR="00000000" w:rsidRPr="00000000" w:rsidDel="00000000">
        <w:rPr>
          <w:i w:val="1"/>
          <w:rtl w:val="0"/>
        </w:rPr>
        <w:t xml:space="preserve">de minimis</w:t>
      </w:r>
      <w:r w:rsidR="00000000" w:rsidRPr="00000000" w:rsidDel="00000000">
        <w:rPr>
          <w:rtl w:val="0"/>
        </w:rPr>
        <w:t xml:space="preserve"> atbalstu: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atbalsts attiecas uz tām pašām attiecināmajām izmaksām, kas daļēji vai pilnībā pārklājas, tikai tādā gadījumā, ja šīs kumulācijas rezultātā netiek pārsniegtas maksimālās atbalsta intensitātes vai atbalsta apmērs, kāds noteikts komercdarbības atbalsta programmā, atbalsta projektā vai Eiropas Komisijas lēmumā, kā arī tiek ievērots maksimālais iespējamais </w:t>
      </w:r>
      <w:r w:rsidR="00000000" w:rsidRPr="00000000" w:rsidDel="00000000">
        <w:rPr>
          <w:i w:val="1"/>
          <w:rtl w:val="0"/>
        </w:rPr>
        <w:t xml:space="preserve">de minimis</w:t>
      </w:r>
      <w:r w:rsidR="00000000" w:rsidRPr="00000000" w:rsidDel="00000000">
        <w:rPr>
          <w:rtl w:val="0"/>
        </w:rPr>
        <w:t xml:space="preserve"> apjoms;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atbalsts attiecas uz atšķirīgām attiecināmajām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Ja projekta iesniedzējs ir saņēmis vai plāno saņemt citu komercdarbības atbalstu un </w:t>
      </w:r>
      <w:r w:rsidR="00000000" w:rsidRPr="00000000" w:rsidDel="00000000">
        <w:rPr>
          <w:i w:val="1"/>
          <w:rtl w:val="0"/>
        </w:rPr>
        <w:t xml:space="preserve">de minimis</w:t>
      </w:r>
      <w:r w:rsidR="00000000" w:rsidRPr="00000000" w:rsidDel="00000000">
        <w:rPr>
          <w:rtl w:val="0"/>
        </w:rPr>
        <w:t xml:space="preserve"> atbalstu saskaņā ar šo noteikumu </w:t>
      </w:r>
      <w:r w:rsidR="00000000" w:rsidRPr="00000000" w:rsidDel="00000000">
        <w:rPr>
          <w:rtl w:val="0"/>
        </w:rPr>
        <w:t xml:space="preserve">34. </w:t>
      </w:r>
      <w:r w:rsidR="00000000" w:rsidRPr="00000000" w:rsidDel="00000000">
        <w:rPr>
          <w:rtl w:val="0"/>
        </w:rPr>
        <w:t xml:space="preserve">punktu</w:t>
      </w:r>
      <w:r w:rsidR="00000000" w:rsidRPr="00000000" w:rsidDel="00000000">
        <w:rPr>
          <w:rtl w:val="0"/>
        </w:rPr>
        <w:t xml:space="preserve">, tas iesniedz sadarbības iestādē informāciju par plānoto un piešķirto atbalstu, tai skaitā par tām pašām attiecināmajām izmaksām, norādot atbalsta piešķiršanas datumu vai plānoto atbalsta piešķiršanas datumu, atbalsta sniedzēju, atbalsta pasākumu un plānoto vai piešķirto atbalsta summu un intensitāti. Lēmumu par projekta iesnieguma apstiprināšanu pieņem vai atzinumu par lēmumā minēto nosacījumu izpildi izdod tikai pēc tam, kad visas iesaistītās institūcijas ir pieņēmušas lēmumu par atbalsta piešķiršanu.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Dokumentāciju par </w:t>
      </w:r>
      <w:r w:rsidR="00000000" w:rsidRPr="00000000" w:rsidDel="00000000">
        <w:rPr>
          <w:i w:val="1"/>
          <w:rtl w:val="0"/>
        </w:rPr>
        <w:t xml:space="preserve">de minimis</w:t>
      </w:r>
      <w:r w:rsidR="00000000" w:rsidRPr="00000000" w:rsidDel="00000000">
        <w:rPr>
          <w:rtl w:val="0"/>
        </w:rPr>
        <w:t xml:space="preserve"> atbalsta piešķiršanu sadarbības iestāde glabā 10 gadus no pasākuma ietvaros pēdējā piešķirtā atbalsta, bet finansējuma saņēmējs – 10 gadus no atbalsta piešķiršanas dienas.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tiek pārkāpti regulas </w:t>
      </w:r>
      <w:r w:rsidR="00000000" w:rsidRPr="00000000" w:rsidDel="00000000">
        <w:rPr>
          <w:rtl w:val="0"/>
        </w:rPr>
        <w:t xml:space="preserve">2023/2831</w:t>
      </w:r>
      <w:r w:rsidR="00000000" w:rsidRPr="00000000" w:rsidDel="00000000">
        <w:rPr>
          <w:rtl w:val="0"/>
        </w:rPr>
        <w:t xml:space="preserve"> nosacījumi, finansējuma saņēmējam ir pienākums atmaksāt sadarbības iestādei projekta ietvaros saņemto nelikumīgo </w:t>
      </w:r>
      <w:r w:rsidR="00000000" w:rsidRPr="00000000" w:rsidDel="00000000">
        <w:rPr>
          <w:i w:val="1"/>
          <w:rtl w:val="0"/>
        </w:rPr>
        <w:t xml:space="preserve">de minimis </w:t>
      </w:r>
      <w:r w:rsidR="00000000" w:rsidRPr="00000000" w:rsidDel="00000000">
        <w:rPr>
          <w:rtl w:val="0"/>
        </w:rPr>
        <w:t xml:space="preserve">atbalstu kopā ar procentiem no līdzekļiem, kas ir brīvi no komercdarbības atbalsta, saskaņā ar Komercdarbības atbalsta kontroles likuma IV vai V nodaļu.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Pasākuma ietvaros izmaksas ir attiecināmas no 2025. gada 1. jūnija. Projekta iesniegumā neiekļauj pabeigtas darbības un finansējumu tām nepiešķir.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Izmaksas, kas saskaņā ar šiem noteikumiem nav iekļaujamas kā attiecināmās izmaksas, ir finansējamas ārpus projekta.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Projekta īstenošanas gaitā radušās sadārdzinājuma izmaksas finansējuma saņēmējs sedz no saviem līdzekļiem.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Pasākuma īstenošanas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Maksimālais projekta īstenošanas ilgums ir divi gadi, bet ne ilgāk par 2029. gada 31. decembri.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patvertnes uzturēšanu, lai katastrofas, militāra iebrukuma vai kara draudu gadījumā cilvēki varētu iekļūt patvertnē un izmantot to;</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sasniegto rezultātu ilgtspēju vismaz piecus gadus pēc projekta īstenošanas pabeigšanas;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uzkrāj datus par:</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ietekmi uz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iznākuma rādītāju;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rādītāju "civilās aizsardzības pasākumu (objektu) skaits, kuros ir nodrošināti piekļūstami pakalpojumi un informācija personām ar funkcionēšanas ierobežojumiem" un īsteno vismaz vienu horizontālā principa vispārīgo un divas specifiskas darbības;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interešu konflikta neesību saskaņā ar Eiropas Parlamenta un Padomes 2024. gada 23. septembra Regulas (ES, </w:t>
      </w:r>
      <w:r w:rsidR="00000000" w:rsidRPr="00000000" w:rsidDel="00000000">
        <w:rPr>
          <w:i w:val="1"/>
          <w:rtl w:val="0"/>
        </w:rPr>
        <w:t xml:space="preserve">Euratom</w:t>
      </w:r>
      <w:r w:rsidR="00000000" w:rsidRPr="00000000" w:rsidDel="00000000">
        <w:rPr>
          <w:rtl w:val="0"/>
        </w:rPr>
        <w:t xml:space="preserve">) </w:t>
      </w:r>
      <w:r w:rsidR="00000000" w:rsidRPr="00000000" w:rsidDel="00000000">
        <w:rPr>
          <w:rtl w:val="0"/>
        </w:rPr>
        <w:t xml:space="preserve">2024/2509</w:t>
      </w:r>
      <w:r w:rsidR="00000000" w:rsidRPr="00000000" w:rsidDel="00000000">
        <w:rPr>
          <w:rtl w:val="0"/>
        </w:rPr>
        <w:t xml:space="preserve"> par finanšu noteikumiem, ko piemēro Savienības vispārējam budžetam (pārstrādāta redakcija), 61. pantu un normatīvajiem aktiem publisko iepirkumu jomā, kā arī paraksta interešu konflikta neesības apliecinājumu;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komunikācijas un vizuālās identitātes prasību pasākumus saskaņā ar regulas </w:t>
      </w:r>
      <w:r w:rsidR="00000000" w:rsidRPr="00000000" w:rsidDel="00000000">
        <w:rPr>
          <w:rtl w:val="0"/>
        </w:rPr>
        <w:t xml:space="preserve">2021/1060</w:t>
      </w:r>
      <w:r w:rsidR="00000000" w:rsidRPr="00000000" w:rsidDel="00000000">
        <w:rPr>
          <w:rtl w:val="0"/>
        </w:rPr>
        <w:t xml:space="preserve"> 47. un 50. pantu un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Finansējuma saņēmējs nodrošina, lai projektā paredzētās atbalstāmās darbības un attiecināmās izmaksas nepārklātos ar citiem valsts un ārvalstu finanšu atbalsta instrumentiem.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Ieguldījumus infrastruktūrā finansējuma saņēmējs var veikt savā īpašumā vai valdījumā esošā īpašumā, ja valdījuma tiesības ir iegūtas uz termiņu, kas nav īsāks par pieciem gadiem no dienas, kad veikts projekta noslēguma maksājums finansējuma saņēmējam. Īpašuma vai valdījuma tiesības ir nostiprinātas zemesgrāmatā vai arī īpašuma vai valdījuma tiesības nostiprina zemesgrāmatā līdz projekta noslēguma maksājuma veikšanai (izņemot gadījumu, ja pašvaldības īpašums uz normatīvā akta, līguma vai pašvaldības lēmuma pamata ir nodots pašvaldības iestādes – projekta iesniedzēja – pārvaldīšanā vai ja valsts īpašums uz pārvaldīšanas līguma vai cita tiesību akta pamata ir nodots tiešās pārvaldes iestādes – projekta iesniedzēja – pārvaldīšanā vai publiskas personas kapitālsabiedrības – projekta iesniedzēja – pārvaldīšanā).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Finansējuma saņēmējs projekta īstenošanai nepieciešamo būvdarbu un pakalpojumu iepirkumu veic saskaņā ar normatīvajiem aktiem publisko iepirkumu jomā, īstenojot atklātu, pārredzamu, nediskriminējošu un konkurenci nodrošinošu konkursa procedūru, un, kur tas ir attiecināms un atbilstošs ieguldījumu specifikai, var īstenot sociāli atbildīgu iepirkumu, kā arī piemērot inovatīvā publiskā iepirkuma nosacījumus, ja attiecināms.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25-TA-640</w:t>
    </w:r>
    <w:r>
      <w:br/>
    </w:r>
    <w:r w:rsidR="00000000" w:rsidRPr="00000000" w:rsidDel="00000000">
      <w:rPr>
        <w:rtl w:val="0"/>
      </w:rPr>
      <w:t xml:space="preserve">Izdrukāts 29.07.2026. 23.49 - 1.0.VK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25-TA-640</w:t>
    </w:r>
    <w:r>
      <w:br/>
    </w:r>
    <w:r w:rsidR="00000000" w:rsidRPr="00000000" w:rsidDel="00000000">
      <w:rPr>
        <w:rtl w:val="0"/>
      </w:rPr>
      <w:t xml:space="preserve">Izdrukāts 29.07.2026. 23.49 - 1.0.VK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noteikumu_projekts_25-TA-640.docx</dc:title>
</cp:coreProperties>
</file>

<file path=docProps/custom.xml><?xml version="1.0" encoding="utf-8"?>
<Properties xmlns="http://schemas.openxmlformats.org/officeDocument/2006/custom-properties" xmlns:vt="http://schemas.openxmlformats.org/officeDocument/2006/docPropsVTypes"/>
</file>