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17. oktobra noteikumos Nr. 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 19. panta</w:t>
      </w:r>
      <w:r w:rsidR="00000000" w:rsidRPr="00000000" w:rsidDel="00000000">
        <w:rPr>
          <w:rStyle w:val="paragraph"/>
          <w:i w:val="1"/>
          <w:rtl w:val="0"/>
        </w:rPr>
        <w:t xml:space="preserve">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17. oktobra noteikumos Nr. 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 (Latvijas Vēstnesis, 2023, 205. nr.; 2024, 173.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Pasākumam plānotais kopējais finansējums ir 1 662 562 euro, tai skaitā Eiropas Reģionālās attīstības fonda (turpmāk – ERAF) finansējums 1 413 177 euro un valsts budžeta finansējums 249 385  euro. Maksimālais ERAF finansējuma apmērs nepārsniedz 85  % no projekta kopējā attiecināmā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8.1.1.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"8.1.1. atbalstītie uzņēmumi (tai skaitā mikrouzņēmumi, mazi, vidēji un lieli uzņēmumi) – 8 komersanti;".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8.1.2.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"8.1.2. ar grantiem atbalstītie uzņēmumi – 8 komersanti;".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8.2.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rezultāta rādītājs: publisko atbalstu papildinošās privātās investīcijas – 1 662 562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Atbalsts pasākuma ietvaros tiek sniegts granta veidā saskaņā ar Eiropas Komisijas 2023. gada 13. decembra Regulu (ES) Nr.  2023/2831 par Līguma par Eiropas Savienības darbību 107.  un 108. panta piemērošanu de minimis  atbalstam (turpmāk  – Komisijas regula Nr. 2023/2831), Eiropas Komisijas 2013. gada 18. decembra Regulu (ES) Nr. 1408/2013 par Līguma par Eiropas Savienības darbību 107. un 108. panta piemērošanu de minimis atbalstam lauksaimniecības nozarē (turpmāk - Komisijas regula Nr. 1408/2013) vai Eiropas Komisijas 2014. gada 27. jūnija Regulu (ES) Nr. 717/2014 par Līguma par Eiropas Savienības darbību 107. un 108. panta piemērošanu de minimis atbalstam zvejniecības un akvakultūras nozarē (turpmāk - Komisijas regula Nr. 717/2014)."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 atbilst nozarēm vai darbībām, kas noteiktas Komisijas regulas Nr.  2023/2831 1.  panta 1.  punktā, ja atbalstu piešķir saskaņā ar Komisijas regulu Nr. 2023/2831;".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17.2.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w:t>
      </w:r>
      <w:r w:rsidR="00000000" w:rsidRPr="00000000" w:rsidDel="00000000">
        <w:rPr>
          <w:vertAlign w:val="superscript"/>
          <w:rtl w:val="0"/>
        </w:rPr>
        <w:t xml:space="preserve">1</w:t>
      </w:r>
      <w:r w:rsidR="00000000" w:rsidRPr="00000000" w:rsidDel="00000000">
        <w:rPr>
          <w:rtl w:val="0"/>
        </w:rPr>
        <w:t xml:space="preserve"> atbilst nozarēm vai darbībām, kas noteiktas Komisijas regulas Nr. 1408/2013 1. panta 1. punktā, ja atbalstu piešķir saskaņā ar Komisijas regulu Nr. 1408/2013;".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17.2.</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w:t>
      </w:r>
      <w:r w:rsidR="00000000" w:rsidRPr="00000000" w:rsidDel="00000000">
        <w:rPr>
          <w:vertAlign w:val="superscript"/>
          <w:rtl w:val="0"/>
        </w:rPr>
        <w:t xml:space="preserve">2</w:t>
      </w:r>
      <w:r w:rsidR="00000000" w:rsidRPr="00000000" w:rsidDel="00000000">
        <w:rPr>
          <w:rtl w:val="0"/>
        </w:rPr>
        <w:t xml:space="preserve"> atbilst nozarēm vai darbībām, kas noteiktas Komisijas regulas Nr. 717/2014 1. panta 1. punktā, ja atbalstu piešķir saskaņā ar Komisijas regulu Nr. 717/2014;".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17.4.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Atbalsts netiek piešķirts projekta iesniedzējam, kurš vienlaikus darbojas nozarē vai veic darbības, kas minētas šo noteikumu 17.2., 17.2.</w:t>
      </w:r>
      <w:r w:rsidR="00000000" w:rsidRPr="00000000" w:rsidDel="00000000">
        <w:rPr>
          <w:vertAlign w:val="superscript"/>
          <w:rtl w:val="0"/>
        </w:rPr>
        <w:t xml:space="preserve">1</w:t>
      </w:r>
      <w:r w:rsidR="00000000" w:rsidRPr="00000000" w:rsidDel="00000000">
        <w:rPr>
          <w:rtl w:val="0"/>
        </w:rPr>
        <w:t xml:space="preserve"> un 17.2.</w:t>
      </w:r>
      <w:r w:rsidR="00000000" w:rsidRPr="00000000" w:rsidDel="00000000">
        <w:rPr>
          <w:vertAlign w:val="superscript"/>
          <w:rtl w:val="0"/>
        </w:rPr>
        <w:t xml:space="preserve">2</w:t>
      </w:r>
      <w:r w:rsidR="00000000" w:rsidRPr="00000000" w:rsidDel="00000000">
        <w:rPr>
          <w:rtl w:val="0"/>
        </w:rPr>
        <w:t xml:space="preserve"> apakšpunktā."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Šo noteikumu 20. punktā minētās izmaksas attiecināmas saskaņā ar atbalstu, kas sniegts atbilstoši Komisijas regulai Nr. 2023/2831, Komisijas regulai Nr. 1408/2013 vai Komisijas regulai Nr. 717/2014. Vienā projekta iesniegumā atbalstam var pieteikties vienā no šo noteikumu 19. punktā minētajiem atbalsta veidiem."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Finansējuma saņēmējs paraksta apliecinājumu par interešu konflikta neesību, kā arī projekta īstenošanas laikā tiek nodrošināta interešu konflikta nepieļaujamība un, ja nepieciešams, tiek novērsti vai laboti identificētie riski vai konstatētais interešu konflikts saskaņā ar Eiropas Parlamenta un Padomes 2024. gada 23. septembra Regulas (ES, Euratom) Nr. 2024/2509 par finanšu noteikumiem, ko piemēro Savienības vispārējam budžetam, 61. panta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Atbalstu, kas sniegts šo noteikumu ietvaros saskaņā ar Komisijas regulu Nr. 2023/2831, Komisijas regulu Nr. 717/2014 vai Komisijas regulu Nr. 1408/2013, nevar apvienot ar atbalstu par vienām un tām pašām attiecināmajām izmaksām, kas sniegts citā valsts atbalsta programmā vai individuālajā projektā."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Atbalstu, pamatojoties uz Komisijas regulu Nr. 2023/2831, Komisijas regulu Nr. 717/2014 vai Komisijas regulu Nr. 1408/2013, projekta iesniedzējam piešķir, ja ir ievērotas minētās regulas prasības un normatīvie akti par de minimis atbalsta uzskaites un piešķiršanas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Piešķirot atbalstu, pirms atbalsta piešķiršanas atbalsta sniedzējs pārbauda, vai pretendentam plānotais de minimis atbalsts: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 ar iepriekšējos trijos gados piešķirto atbalstu nepārsniedz Komisijas Regulas Nr. 2023/2831 3. panta 2. punktā noteikto maksimālo apmēru viena vienota uzņēmuma līmenī, ja pretendents pretendē uz atbalstu saskaņā ar Komisijas regulu Nr. 2023/2831. Viens vienots uzņēmums ir uzņēmums, kas atbilst Komisijas regulas Nr. 2023/2831 2. panta 2. punktā minētajiem kritērijiem;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35.2. kopā ar iepriekšējos trijos gados piešķirto atbalstu nepārsniedz Komisijas Regulas Nr. 1408/2013 3. panta 2. un 3. punktā noteikto maksimālo apmēru viena vienota uzņēmuma līmenī, ja pretendents pretendē uz atbalstu saskaņā ar Komisijas regulu Nr. 1408/2013. Viens vienots uzņēmums ir uzņēmums, kas atbilst Komisijas regulas Nr. 1408/2013 2. panta 2. punktā minētajiem kritērijiem;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35.3. kopā ar iepriekšējos trijos fiskālos gados piešķirto atbalstu nepārsniedz Komisijas Regulas Nr. 717/2014 3. panta 2a. un 3. punktā noteikto maksimālo apmēru viena vienota uzņēmuma līmenī, ja pretendents pretendē uz atbalstu saskaņā ar Komisijas regulu Nr. 717/2014. Viens vienots uzņēmums ir uzņēmums, kas atbilst Komisijas regulas Nr. 717/2014 2. panta 2. punktā minētajiem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 36.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Ja tiek pārkāpti Komisijas regulas Nr. 2023/2831 Komisijas regulas Nr. 1408/2013 vai Komisijas regulas Nr. 717/2014 nosacījumi, finansējuma saņēmējam ir pienākums atmaksāt sadarbības iestādei projekta ietvaros saņemto nelikumīgo de minimis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Sadarbības iestāde lēmumu par de minimis atbalsta piešķiršanu saskaņā ar Komisijas regulas Nr. 2023/2831 7. panta 3. punktu un 8. pantu, Komisijas regulas Nr. 1408/2013 7. panta 4. punktu un 8. pantu vai Komisijas regulas Nr. 717/2014 7. panta 4. punktu un 8. pantu var pieņemt līdz minētās regulas darbības beigām."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25-TA-116</w:t>
    </w:r>
    <w:r>
      <w:br/>
    </w:r>
    <w:r w:rsidR="00000000" w:rsidRPr="00000000" w:rsidDel="00000000">
      <w:rPr>
        <w:rtl w:val="0"/>
      </w:rPr>
      <w:t xml:space="preserve">Izdrukāts 29.07.2026. 23.46 - 1.0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25-TA-116</w:t>
    </w:r>
    <w:r>
      <w:br/>
    </w:r>
    <w:r w:rsidR="00000000" w:rsidRPr="00000000" w:rsidDel="00000000">
      <w:rPr>
        <w:rtl w:val="0"/>
      </w:rPr>
      <w:t xml:space="preserve">Izdrukāts 29.07.2026. 23.46 - 1.0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noteikumu_(grozījumu)_projekts_25-TA-116.docx</dc:title>
</cp:coreProperties>
</file>

<file path=docProps/custom.xml><?xml version="1.0" encoding="utf-8"?>
<Properties xmlns="http://schemas.openxmlformats.org/officeDocument/2006/custom-properties" xmlns:vt="http://schemas.openxmlformats.org/officeDocument/2006/docPropsVTypes"/>
</file>