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decembrī (prot. Nr. 62 42.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Satiksmes ministrijai finansējumu 6 503 295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veiktu maksājumu par 2020. gadu valsts publiskās lietošanas dzelzceļa infrastruktūras pārvaldītāja (valsts akciju sabiedrība "Latvijas dzelzceļš") finanšu līdzsvara nodrošināšanai atbilstoši </w:t>
      </w:r>
      <w:r w:rsidR="00000000" w:rsidRPr="00000000" w:rsidDel="00000000">
        <w:rPr>
          <w:rtl w:val="0"/>
        </w:rPr>
        <w:t xml:space="preserve">Dzelzceļa likuma</w:t>
      </w:r>
      <w:r w:rsidR="00000000" w:rsidRPr="00000000" w:rsidDel="00000000">
        <w:rPr>
          <w:rtl w:val="0"/>
        </w:rPr>
        <w:t xml:space="preserve"> 9. panta ceturtajai daļai.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 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22-TA-3388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22-TA-3388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