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58.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(turpmāk – pasākums) ceturto projektu iesniegumu atlases kārtu (turpmāk – ceturtā atlases kārta) un piekto projektu iesniegumu atlases kārtu (turpmāk – piektā atlases kārta) (turpmāk kopā – ceturtā un piektā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ceturtās un piektās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ceturtajai un piektajai atlases kārtai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Taisnīgas pārkārtošanās fonda projekta (turpmāk – projekts) iesniedzējam (turpmāk – projekta iesniedzējs), finansējuma saņēmējam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kā arī komercdarbības atbalsta piešķiršanas nosacījumus;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ceturtās un piektās atlases kārtas mērķis ir mazināt vēsturiski radīto kaitējumu dabas resursiem vēsturiskajās kūdras ieguves vietās, revitalizējot purvu, mežu un ūdenstilpju ekosistēmas, atjaunojot to funkcionalitāti, mazinot siltumnīcefekta gāzu emisijas, kā arī stiprinot to spēju piesaistīt oglekļa dioksīdu. Piektās atlases kārtas papildu mērķis ir veikt vēsturisko kūdras ieguves vietu revitalizāciju, ierīkojot ilggadīgos stādījumus, tādējādi samazinot siltumnīcefekta gāzu emisijas un veicinot šo teritoriju izmantošanu un ekonomisko aktivitāti reģionos.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ceturtās un piektās atlases kārtas mērķteritorijas un īstenošanas vietas ir Kūdras ilgtspējīgas izmantošanas pamatnostādņu 2020.–2030. gadam 3. pielikumā (turpmāk – pamatnostādņu 3. pielikums) minētās teritorijas, kas atrodas Kurzemes, Latgales, Vidzemes un Zemgales statistiskajā reģionā saskaņā ar 2022. gada 25. novembrī spēkā esošo Statistiski teritoriālo vienību nomenklatūras 3. līmeņa (NUTS 3. līmenis) klasifikāciju.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ceturtās un piektās atlases kārtas mērķa grupa ir pašvaldības un privātpersonas, kuru īpašumā, valdījumā vai turējumā ir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teritorijas, kurās paredzēts īstenot revitalizācijas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ceturto un piekto atlases kārtu īsteno līdz 2030. gada 31. decembrim, sasniedzot šādus uzraudzības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atbalstītā sanētās zemes platība. Iznākuma rādītāja vērtība tiek sasniegta, ja tiek veikti ieguldījumi pamatnostādņu 3. pielikumā minētajās teritorijās vismaz 5 100 hektāru platībā (ceturtajā atlases kārtā 150 hektāru platībā, piektajā atlases kārtā 4 950 hektāru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aplēstās siltumnīcefekta gāzu emisijas. Rezultāta rādītāja vērtība tiek sasniegta un aprēķināta no projektos iekļautajām teritorijām, sasniedzot siltumnīcefekta gāzu emisiju samazinājumu vismaz –42 398 (ietaupījumu vismaz 98 000) oglekļa dioksīda ekvivalenta tonnu gadā (ceturtajā atlases kārtā –190 (ietaupījumu vismaz 800), piektajā atlases kārtā –42 208 (ietaupījumu vismaz 97 200) oglekļa dioksīda ekvivalenta tonnu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minētā iznākuma rādītāja faktisko vērtību apliecina pieņemšanas un nodošanas akts par projekta darbību veikšanu vai nozares eksperta vai valsts iestādes atzinums, akts vai dokumentāri pierādījumi un apliecinājums, kurā norādīta uz projektu attiecināmā platība un īstenotais revitalizācijas darbību veids.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rezultāta rādītāja vērtību sasniegšanu apliecina finansējuma saņēmējs un sadarbības partneris (ja attiecināms), veicot aplēsto siltumnīcefekta gāzu emisiju aprēķinu vai norādot tās atbilstoši Ministru kabineta 2024. gada 9. jūlija noteikumu Nr. 450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 20.5.2. apakšpunkta ietvaros izstrādātajā revitalizācijas dokumentā (turpmāk – revitalizācijas stratēģija) aprēķinātajām emisijām.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ceturto atlases kārtu īsteno ierobežotas projektu iesniegumu atlases veidā, bet pasākuma piekto atlases kārtu – atklātas projektu iesniegumu atlases veidā. Ja nepieciešams, atlases kārtu ietvaros var rīkot vairākus uzsaukumus, tostarp atsevišķi pa statistikas reģioniem.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atbildīgās iestādes funkcijas pilda Viedās administrācijas un reģionālās attīstības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ceturtās atlases kārtas īstenošanai pieejamais kopējais attiecināmais finansējuma apmērs ir vismaz 2 361 656 </w:t>
      </w:r>
      <w:r w:rsidR="00000000" w:rsidRPr="00000000" w:rsidDel="00000000">
        <w:rPr>
          <w:i w:val="1"/>
          <w:rtl w:val="0"/>
        </w:rPr>
        <w:t xml:space="preserve">euro</w:t>
      </w:r>
      <w:r w:rsidR="00000000" w:rsidRPr="00000000" w:rsidDel="00000000">
        <w:rPr>
          <w:rtl w:val="0"/>
        </w:rPr>
        <w:t xml:space="preserve">, tai skaitā Taisnīgas pārkārtošanās fonda finansējums – 2 007 407 </w:t>
      </w:r>
      <w:r w:rsidR="00000000" w:rsidRPr="00000000" w:rsidDel="00000000">
        <w:rPr>
          <w:i w:val="1"/>
          <w:rtl w:val="0"/>
        </w:rPr>
        <w:t xml:space="preserve">euro</w:t>
      </w:r>
      <w:r w:rsidR="00000000" w:rsidRPr="00000000" w:rsidDel="00000000">
        <w:rPr>
          <w:rtl w:val="0"/>
        </w:rPr>
        <w:t xml:space="preserve"> un nacionālais līdzfinansējums, ko veido pašvaldības budžeta vai arī pašvaldības finansējums, par kuru nav saņemts komercdarbības atbalsts, vai privātais finansējums, ja kā sadarbības partneris tiek piesaistīta privātpersona atbilstoši šo noteikumu </w:t>
      </w:r>
      <w:r w:rsidR="00000000" w:rsidRPr="00000000" w:rsidDel="00000000">
        <w:rPr>
          <w:rtl w:val="0"/>
        </w:rPr>
        <w:t xml:space="preserve">17.1. </w:t>
      </w:r>
      <w:r w:rsidR="00000000" w:rsidRPr="00000000" w:rsidDel="00000000">
        <w:rPr>
          <w:rtl w:val="0"/>
        </w:rPr>
        <w:t xml:space="preserve">apakšpunktam</w:t>
      </w:r>
      <w:r w:rsidR="00000000" w:rsidRPr="00000000" w:rsidDel="00000000">
        <w:rPr>
          <w:rtl w:val="0"/>
        </w:rPr>
        <w:t xml:space="preserve">, – vismaz 354 249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piektās atlases kārtas īstenošanai pieejamais kopējais attiecināmais finansējuma apmērs ir vismaz 16 616 085 </w:t>
      </w:r>
      <w:r w:rsidR="00000000" w:rsidRPr="00000000" w:rsidDel="00000000">
        <w:rPr>
          <w:i w:val="1"/>
          <w:rtl w:val="0"/>
        </w:rPr>
        <w:t xml:space="preserve">euro</w:t>
      </w:r>
      <w:r w:rsidR="00000000" w:rsidRPr="00000000" w:rsidDel="00000000">
        <w:rPr>
          <w:rtl w:val="0"/>
        </w:rPr>
        <w:t xml:space="preserve">, tai skaitā Taisnīgas pārkārtošanās fonda finansējums – 14 123 672 </w:t>
      </w:r>
      <w:r w:rsidR="00000000" w:rsidRPr="00000000" w:rsidDel="00000000">
        <w:rPr>
          <w:i w:val="1"/>
          <w:rtl w:val="0"/>
        </w:rPr>
        <w:t xml:space="preserve">euro</w:t>
      </w:r>
      <w:r w:rsidR="00000000" w:rsidRPr="00000000" w:rsidDel="00000000">
        <w:rPr>
          <w:rtl w:val="0"/>
        </w:rPr>
        <w:t xml:space="preserve"> un līdzfinansējums, ko veido privātais finansējums vai, ja atbilstoši šo noteikumu </w:t>
      </w:r>
      <w:r w:rsidR="00000000" w:rsidRPr="00000000" w:rsidDel="00000000">
        <w:rPr>
          <w:rtl w:val="0"/>
        </w:rPr>
        <w:t xml:space="preserve">17.2. </w:t>
      </w:r>
      <w:r w:rsidR="00000000" w:rsidRPr="00000000" w:rsidDel="00000000">
        <w:rPr>
          <w:rtl w:val="0"/>
        </w:rPr>
        <w:t xml:space="preserve">apakšpunktam</w:t>
      </w:r>
      <w:r w:rsidR="00000000" w:rsidRPr="00000000" w:rsidDel="00000000">
        <w:rPr>
          <w:rtl w:val="0"/>
        </w:rPr>
        <w:t xml:space="preserve"> </w:t>
      </w:r>
      <w:r w:rsidR="00000000" w:rsidRPr="00000000" w:rsidDel="00000000">
        <w:rPr>
          <w:rtl w:val="0"/>
        </w:rPr>
        <w:t xml:space="preserve">kā sadarbības partneris tiek piesaistīta pašvaldība, pašvaldības budžeta vai arī pašvaldības finansējums, par kuru nav saņemts komercdarbības atbalsts, – vismaz 2 492 413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ceturtajā un piektajā atlases kārtā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ceturtajā un piektajā atlases kārtā viena projekta īstenošanai maksimālais pieejamais Taisnīgas pārkārtošanās fonda finansējums ir 800 000 </w:t>
      </w:r>
      <w:r w:rsidR="00000000" w:rsidRPr="00000000" w:rsidDel="00000000">
        <w:rPr>
          <w:i w:val="1"/>
          <w:rtl w:val="0"/>
        </w:rPr>
        <w:t xml:space="preserve">euro</w:t>
      </w:r>
      <w:r w:rsidR="00000000" w:rsidRPr="00000000" w:rsidDel="00000000">
        <w:rPr>
          <w:rtl w:val="0"/>
        </w:rPr>
        <w:t xml:space="preserve">, bet, īstenojot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minēto atbalstāmo darbību, attiecināmās izmaksas nepārsniedz 600 000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Maksimālais attiecināmais Taisnīgas pārkārtošanās fonda finansējuma apmērs nepārsniedz: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90 procentus no projekta kopējā attiecināmā finansējuma, īstenojot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95 procentus no projekta kopējā attiecināmā finansējuma, īstenojot šo noteikumu </w:t>
      </w:r>
      <w:r w:rsidR="00000000" w:rsidRPr="00000000" w:rsidDel="00000000">
        <w:rPr>
          <w:rtl w:val="0"/>
        </w:rPr>
        <w:t xml:space="preserve">23.2.</w:t>
      </w:r>
      <w:r w:rsidR="00000000" w:rsidRPr="00000000" w:rsidDel="00000000">
        <w:rPr>
          <w:rtl w:val="0"/>
        </w:rPr>
        <w:t xml:space="preserve"> un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65 procentus no projekta kopējā attiecināmā finansējuma, īstenojot 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minēto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pasākuma ceturtajā un piektajā atlases kārtā netiek izmantots viss tai paredzētais Taisnīgas pārkārtošanās fonda finansējums, var īstenot atkārtotus uzsaukumus.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kas pēc projekta iesnieguma apstiprināšanas kļūst par finansējuma saņēmēju,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ceturtajā atlases kārtā – pašvaldības, kuru īpašumā vai valdījumā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teritorijas, kuras norādītas pasākuma pirmās atlases kārtas ietvaros atbildīgajai iestādei iesniegtajā nodevumā, ko izstrādājis Vidzemes plānošanas reģions sadarbībā ar Kurzemes, Zemgales un Latgales plānošanas reģioniem un kurā iekļauts izvērtējums par pašvaldību īpašumā esošajām kūdras ieguves vietām kā degradētām teritorijām, kurās iespējams īstenot revitalizāciju;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piektajā atlases kārtā – privātpersona, kuras īpašumā, valdījumā vai turējumā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teritorija vai kurai uz šo teritoriju ir nodibināta apbūves tiesība, kā arī minētās teritorijas īpašnieka pilnvarota persona.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pasākuma ceturtās un piektās atlases kārtas ietvaros var piesaistīt vienu vai vairākus sadarbības partnerus, pirms projekta īstenošanas uzsākšanas slēdzot sadarbības līgumu vai vienošanos par pušu pienākumiem, tiesībām un atbildību projekta mērķa un rādītāju sasniegšanā un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prasību nodrošināšanā atbilstoši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ceturtajā atlases kārtā – privātpersonu, kuras īpašumā, valdījumā vai turējumā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teritorija, vai minētās teritorijas īpašnieka pilnvarotu personu;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piektajā atlases kārtā – pašvaldību vai citu privātpersonu, kuras īpašumā, valdījumā vai turējumā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teritorijas vai kurai uz šīm teritorijām ir nodibināta apbūves tiesība, kā arī minēto teritoriju īpašnieka pilnvarotu personu.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kopīgi ar sadarbības partneri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 projektā sasniedzamos uzraudzības rādītājus un Taisnīgas pārkārtošanās fonda finansējumu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rādītājiem un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minētajam pieejamam finansējumam;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iesaistās projekta īstenošanā ar saviem resursiem, tai skaitā ar tā īpašumā, valdījumā vai turējumā esošo nekustamo īpašumu;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projekta rezultātu ilgtspēju, uzturēšanu un apsaimniekošanu atbilstoši revitalizācijas stratēģijām un kompetentu iestāžu un ekspertu norādījumiem par teritoriju apsaimniekošanas darbībām pēc projekta noslēgšanas, tostarp nodrošina, ka netiek uzsākta kūdras ieguve visā projekta dzīves ciklā, kas iekļauj projekta īstenošanas laiku un pēcuzraudzības periodu un ir vismaz 15 gadi;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revitalizējamo teritoriju ekosistēmu pakalpojumu un sociālekonomisko novērtējumu veikšanu;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izvērtētu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minēto atbalstāmo revitalizācijas veidu atbilstību un nodrošinātu principa "piesārņotājs maksā" piemērošanas izvērtēšanu, ņem vērā revitalizācijas stratēģiju, kurā noteikti atbalstāmie risinājumi un darbības un izvērtēta principa "piesārņotājs maksā" piemērošana. Ja šāda revitalizācijas stratēģija nav izstrādāta, projekta iesniedzējam un sadarbības partnerim (ja attiecināms) jāsaņem atzinumi, ko sniegušas kompetentas iestādes, speciālisti vai eksperti sugu un biotopu, purvu, hidroloģijas vai citā ar kūdras ieguves vietu rekultivāciju saistītā jomā. Atzinumos jābūt pamatotam atbilstošam revitalizācijas veidam un īstenojamām darbībām, ņemot vērā teritorijas ietekmējošos faktorus un plānoto revitalizācijas darbību lietderību. Papildus atzinumam projekta iesniedzējam un sadarbības partnerim (ja attiecināms) ir pienākums sniegt informāciju, lai pamatotu principa "piesārņotājs maksā" nepiemērošanu.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Pasākuma ceturtajā un piektajā atlases kārtā projektā, kurā netiek sniegts komercdarbības atbalsts, projekta darbību rezultātā var rasties ieņēmumi, piemēram, no koksnes un šķeldas realizācijas. Šo ieņēmumu uzskaitei projekta iesniedzējs nodrošina finanšu analīzes sagatavošanu. Pamatojoties uz finanšu analīzē norādīto neto ieņēmumu apmēru, kas tiek precizēts atbilstoši faktiskajam apmēram, ne vēlāk kā pirms pēdējā maksājuma veikšanas tiek samazināts Taisnīgas pārkārtošanās fonda finansējuma apmērs. Pēc projekta darbību pabeigšanas, īstenojot renaturalizāciju un ūdenstilpju izveidi, kas attiecināma uz dabas atjaunošanas prasību īstenošanu atbilstoši šo noteikumu </w:t>
      </w:r>
      <w:r w:rsidR="00000000" w:rsidRPr="00000000" w:rsidDel="00000000">
        <w:rPr>
          <w:rtl w:val="0"/>
        </w:rPr>
        <w:t xml:space="preserve">27. </w:t>
      </w:r>
      <w:r w:rsidR="00000000" w:rsidRPr="00000000" w:rsidDel="00000000">
        <w:rPr>
          <w:rtl w:val="0"/>
        </w:rPr>
        <w:t xml:space="preserve">punktam</w:t>
      </w:r>
      <w:r w:rsidR="00000000" w:rsidRPr="00000000" w:rsidDel="00000000">
        <w:rPr>
          <w:rtl w:val="0"/>
        </w:rPr>
        <w:t xml:space="preserve">, var rasties ieņēmumi, ievērojot nosacījumu, ka ik gadu projekta dzīves ciklā tie nepārsniedz 50 procentus no attiecīgās infrastruktūras un atjaunoto teritoriju uzturēšanas izdevumiem, ja šādi ieņēmumi ir paredzēti. Šo ieņēmumu uzskaitei projekta iesniedzējs nodrošina finanšu analīzes sagatavošanu.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ceturtajā un piektajā atlases kārtā projekta iesniedzējs var iesniegt vairākus projektu iesniegumus un vienā projekta iesniegumā var iekļaut darbības vienā vai vairākās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minētajās teritorijās.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kopīgi ar sadarbības partneri (ja attiecināms) saskaņā ar projektu iesniegumu atlases nolikuma prasībām elektroniski sagatavo projekta iesniegumu un iesniedz to sadarbības iestādē, izmantojot Kohēzijas politikas fondu vadības informācijas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iesniegumā paredzētās darbības atbilst Taisnīgas pārkārtošanās teritoriālajā plānā un Kūdras ilgtspējīgas izmantošanas pamatnostādnēs 2020.–2030. gadam noteiktajiem mērķiem un uzdevumiem.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ceturtās un piektās atlases kārtas ietvaros atbalstāmas ir šādas darbības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minētajās teritorijās saskaņā ar šo noteikumu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minētajām revitalizācijas stratēģijām vai atzinumiem, kas tiek atbalstītas saskaņā ar atbildīgās iestādes apstiprināto un vadošās iestādes saskaņoto vienas vienības izmaksu likmju aprēķina un piemērošanas metodiku (turpmāk – metodika):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renaturalizācija;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meža ieaudzēšana un agrotehniskā kopšana;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meža ieaudzēšanai nepieciešamās ūdens līmeņa regulācijas un meliorācijas sistēmas izbūve, atjaunošana vai pārbūve;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ūdenstilpju izveide.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Piektajā atlases kārtā papildus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atbalstāmajām darbībām ir atbalstāma: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ilggadīgo stādījumu ierīkošana un tai nepieciešamās infrastruktūras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ceturtās un piektās atlases kārtas ietvaros nav atbalstāma revitalizācijas stratēģijas izstrāde.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Atbalsta saņemšanas nosacījumi un komercdarbības atbalsta regulējums, īstenojot renaturalizāciju un ūdenstilpju izveidi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ceturtajā un piektajā atlases kārtā, īstenojot renaturalizāciju un ūdenstilpju izveidi, atbalstāmo darbību attiecināmās izmaksas nosaka un izmaksā saskaņā ar metodiku, piemērojot vienkāršoto izmaksu iespējas par vienas vienības izmaksu likmēm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53. panta 1. punkta "b", "d" un "e" apakšpunktam.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projekta iesniedzējs un sadarbības partneris (ja attiecināms) ir norādījis, ka projekta īstenošanas teritorijā paredzēts atjaunot purvu un (vai) izveidot ūdenstilpju ekosistēmu un ka projekta dzīves cikla laikā netiks īstenota saimnieciskā darbība, ņemot vērā šo noteikumu </w:t>
      </w:r>
      <w:r w:rsidR="00000000" w:rsidRPr="00000000" w:rsidDel="00000000">
        <w:rPr>
          <w:rtl w:val="0"/>
        </w:rPr>
        <w:t xml:space="preserve">19. punktā</w:t>
      </w:r>
      <w:r w:rsidR="00000000" w:rsidRPr="00000000" w:rsidDel="00000000">
        <w:rPr>
          <w:rtl w:val="0"/>
        </w:rPr>
        <w:t xml:space="preserve"> minētos nosacījumus, un projekta ietvaros ir sniedzis atbilstošu apliecinājumu, kurā norādīts, ka projekta noslēgumā tiks saņemts eksperta purvu jomā vai sertificēta dabas eksperta atzinums par renaturalizētās teritorijas atbilstību purva ekosistēmai vai izveidotās ūdenstilpes atbilstību putniem nozīmīgai ūdenstilpei, projektam netiek piemērots komercdarbības atbalsta regulējums.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Minimālā platība, kurā projekta ietvaros var īstenot renaturalizāciju vai ūdenstilpju izveidi, ir 0,5 hektāri.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ceturtās un piektās kārtas ietvaros īstenojot renaturalizāciju, finansējuma saņēmējs un sadarbības partneris (ja attiecināms), lai saņemtu izmaksu par renaturalizēto teritoriju, iesniedz sadarbības iestādē eksperta purva jomā vai sertificēta dabas eksperta atzinumu par īstenoto renaturalizācijas darbību atbilstību ekosistēmas turpmākai attīstībai un kvalitātes nodrošināšanai, kurā norādīta informācija par renaturalizācijas platību un par to, vai ir atjaunota augstā vai zemā purva ekosistēma.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ceturtās un piektās atlases kārtas ietvaros īstenojot ūdenstilpju izveidi, finansējuma saņēmējs un sadarbības partneris (ja attiecināms), lai saņemtu izmaksu par izveidoto ūdenstilpi, iesniedz sadarbības iestādē hidroloģijas vai hidrotehnisko būvju eksperta atzinumu par ūdenstilpes izveidi un tās atbilstību projekta mērķim, kurā iekļauta informācija par ūdenstilpes platību un to raksturojošiem parametriem (dziļums, gultnes raksturs, krastu lēzenums un citi raksturlielumi), kas apliecina, ka ir izveidota ūdenstilpe. Papildus tam Būvniecības informācijas sistēmā jābūt veiktai atzīmei par būves pieņemšanu ekspluatācijā vai būvdarbu pabeigšanu.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Izveidojot ūdenstilpes, tajās ietver bridējputnu un niedrāju putnu dzīvotnes elementus, piemēram, lēzenus krastus un seklūdens joslas. Ūdenstilpes krastā putnu slēptuvēm saglabā vai ieplāno koku un krūmu pudurus.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izmaksas, īstenojot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minētos revitalizācijas veidus, ir attiecināmas no 2026. gada 1. janvāra, taču projekts kopumā nedrīkst būt pabeigts un tā darbības nedrīkst būt pilnībā īstenotas pirms projekta iesnieguma iesniegšanas sadarbības iestādē, kas tostarp ir atbilstoši Eiropas Komisijas 2014. gada 17. jūnija Regulas (ES) Nr. 651/2014, ar ko noteiktas atbalsta kategorijas atzīst par saderīgām ar iekšējo tirgu, piemērojot Līguma 107. un 108. pantu (turpmāk – regula Nr. 651/2014), 6. panta 5. punkta "n" apakšpunktam, kas nosaka stimulējošās ietekmes izņēmumu.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Komercdarbības atbalstu, ceturtās un piektās atlases kārtas ietvaros īstenojot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minētos revitalizācijas veidus (izņemot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gadījumu, kad atbalsts nav kvalificējams kā komercdarbības atbalsts), piešķir saskaņā ar regulas Nr. 651/2014 45. panta 2. punkta "c" un "d" apakšpunktu, ja ir ievēroti šādi regulas Nr. 651/2014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651/2014;</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651/2014 un kurām tiek nodrošināta izmaksu nošķiršana, lai darbības izslēgtajās nozarēs negūst labumu no atbalsta, kas piešķirts saskaņā ar regulu Nr. 651/2014;</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komersantam uzņēmumu grupas līmenī, ja uz kādu no komersantiem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panta 4. punkta "c" apakšpunkta nosacījums, ka atbalsts netiek piešķirts grūtībās nonākušam komersantam, kuram uzņēmumu grupas līmenī konstatējama vismaz viena regulas Nr. 651/2014 2. panta 18. punktā minētā situācija;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 panta 5. punkta nosacījumi par pasākumiem, kuriem nepiemēro regulu Nr. 651/2014;</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45. panta 3. punkta nosacījumi par atbalsta nepiešķiršanu darbībām, kas paredzētas, lai novērstu zaudējumus, ko radījušas dabas katastrofas, piemēram, zemes nogruvumi, plūdi, viesuļvētras, orkāni un dabiskas izcelsmes ugunsgrēki;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45. panta 4. punkta nosacījumi par atbalsta nepiešķiršanu remediācijai vai sanācijai pēc elektrostaciju slēgšanas un kalnrūpniecības vai ieguves darbību izbeigšanas;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45. panta 5. punkta nosacījumi par atbalsta nepiešķiršanu kompensācijas pasākumu īstenošanai, lai nodrošinātu Eiropas nozīmes aizsargājamo dabas teritoriju (turpmāk – </w:t>
      </w:r>
      <w:r w:rsidR="00000000" w:rsidRPr="00000000" w:rsidDel="00000000">
        <w:rPr>
          <w:i w:val="1"/>
          <w:rtl w:val="0"/>
        </w:rPr>
        <w:t xml:space="preserve">Natura 2000</w:t>
      </w:r>
      <w:r w:rsidR="00000000" w:rsidRPr="00000000" w:rsidDel="00000000">
        <w:rPr>
          <w:rtl w:val="0"/>
        </w:rPr>
        <w:t xml:space="preserve">) tīkla kopējās vienotības aizsardzību;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45. panta 5. punkta nosacījumi par principa "piesārņotājs maksā" ievērošanu.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noteikto nosacījumu izpildi, ja iepriekš ir bijis pieņemts lēmums par projekta iesnieguma apstiprināšanu ar nosacījumu.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Taisnīgas pārkārtošanās fonda maksimālā atbalsta intensitāte, nepiemērojot komercdarbības atbalstu atbilstoši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minētajiem nosacījumiem, ir 90 procenti. Ja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revitalizācijas veidu īstenošanai tiek piešķirts komercdarbības atbalsts, tad saskaņā ar regulas Nr. 651/2014 45. panta 9. punkta "b" apakšpunktu un 10. punktu atbalsta intensitāte ir šāda: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mazajiem komersantiem – 90 procenti;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vidējiem komersantiem – 80 procenti;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lielajiem komersantiem – 70 procenti.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Mazais un vidējais komersants šo noteikumu izpratnē ir komersants, kas atbilst regulas Nr. 651/2014 I pielikumam. Lielais komersants šo noteikumu izpratnē ir komersants, kas neatbilst regulas Nr. 651/2014 I pielikumā noteiktajiem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Lēmumu par atbalsta piešķiršanu saskaņā ar regulu Nr. 651/2014 pieņem līdz tās darbības beigām.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33.3.</w:t>
      </w:r>
      <w:r w:rsidR="00000000" w:rsidRPr="00000000" w:rsidDel="00000000">
        <w:rPr>
          <w:rtl w:val="0"/>
        </w:rPr>
        <w:t xml:space="preserve"> un </w:t>
      </w:r>
      <w:r w:rsidR="00000000" w:rsidRPr="00000000" w:rsidDel="00000000">
        <w:rPr>
          <w:rtl w:val="0"/>
        </w:rPr>
        <w:t xml:space="preserve">33.4. </w:t>
      </w:r>
      <w:r w:rsidR="00000000" w:rsidRPr="00000000" w:rsidDel="00000000">
        <w:rPr>
          <w:rtl w:val="0"/>
        </w:rPr>
        <w:t xml:space="preserve">apakšpunktā</w:t>
      </w:r>
      <w:r w:rsidR="00000000" w:rsidRPr="00000000" w:rsidDel="00000000">
        <w:rPr>
          <w:rtl w:val="0"/>
        </w:rPr>
        <w:t xml:space="preserve"> minētos nosacījumus pārbauda uz projekta iesnieguma iesniegšanas brīdi sadarbības iestādē un uz komercdarbības atbalsta piešķiršanas brīdi.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saņemšanas nosacījumi un komercdarbības atbalsta regulējums, īstenojot meža ieaudzēšanu, meža ūdens līmeņa regulācijas un meliorācijas sistēmas izbūvi, atjaunošanu vai pārbūvi un ieaudzētā meža agrotehnisko kopšanu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ceturtajā un piektajā atlases kārtā atbalstāmo darbību attiecināmās izmaksas, kas saistītas ar atbalstu meža ieaudzēšanai, ieaudzētā meža labvēlīgas augšanas nodrošināšanai nepieciešamās ūdens līmeņa regulācijas un meliorācijas sistēmas izbūvei, pārbūvei vai atjaunošanai, kā arī pasākuma ceturtās un piektās atlases kārtas ietvaros ieaudzētā meža agrotehniskajai kopšanai nosaka un izmaksā saskaņā ar metodiku, piemērojot vienkāršotās izmaksas ar vienas vienības izmaksu likmēm atbilstoši regulas 2021/1060 53. panta 1. punkta "b", "d" un "e" apakšpunktam.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Pasākuma ceturtās un piektās atlases kārtas ietvaros meža ieaudzēšana, meža ūdens līmeņa regulācijas un meliorācijas sistēmas izbūve, atjaunošana vai pārbūve un ieaudzētā meža agrotehniskā kopšana kvalificējama kā komercdarbības atbalsts saimnieciskās darbības veicējiem, un tas tiek sniegts saskaņā ar Komisijas 2023. gada 13. decembra Regulu (ES)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Minimālā platība, par kuru finansējuma saņēmējam aprēķināmas izmaksas, īstenojot meža ieaudzēšanu un ieaudzētā meža agrotehnisko kopšanu, kā arī pasākuma ceturtās un piektās atlases kārtas ietvaros ieaudzējamā meža platība nav mazāka par 0,5 hektāriem, kas atbilst Meža likumam un normatīvajiem aktiem par meža inventarizāciju un Meža valsts reģistra informācijas apriti, bet, īstenojot ūdens līmeņa regulācijas un meliorācijas sistēmas izbūvi, pārbūvi vai atjaunošanu, tās parametri nav mazāki kā vienas vienības vērtība, kas noteikta metodikā.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Taisnīgas pārkārtošanās fonda atbalsta apmērs meža ieaudzēšanai, meža agrotehniskajai kopšanai un meža ieaudzēšanai nepieciešamās ūdenslīmeņa regulācijas un meliorācijas sistēmas izbūvei, atjaunošanai vai pārbūvei ir šāds: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meža ieaudzēšanai mitrājam raksturīgā ūdens līmenī, tai skaitā ieaudzētā meža agrotehniskajai kopšanai un ūdens līmeņa regulācijas sistēmas atjaunošanai, izbūvei vai pārbūvei, atbalsta likme nepārsniedz 95 procentus no projekta kopējā attiecināmā finansējuma;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meža ieaudzēšanai uz meliorētas augsnes, tai skaitā ieaudzētā meža agrotehniskajai kopšanai un meliorācijas sistēmas izbūvei, atjaunošanai vai pārbūvei, atbalsta likme nepārsniedz 80 procentus no projekta kopējā attiecināmā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Meža ieaudzēšanu veic saskaņā ar normatīvajiem aktiem par meža atjaunošanu, meža ieaudzēšanu un plantāciju mežu,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neveido tīraudzes, kas lielākas par diviem hektāriem. Ja ieaudzētās tīraudzes platība ir lielāka par diviem hektāriem, veido dažādu koku sugu piemistrojumu ar grupveida stādījumiem. Mežaudžu ieaudzēšanai izmanto tās koku sugas, kuras normatīvajos aktos par meža ieaudzēšanu ir noteiktas kā izmantojamas meža ieaudzēšanai;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saglabā savrup augošus kokus, koku grupas, rindas un alejas;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stādāmajam materiālam jābūt atbilstošam normatīvajiem aktiem par meža reproduktīvo materiālu.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Atbalstu meža ieaudzēšanai nepiešķir: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iesniedzējam un sadarbības partnerim (ja attiecināms), kurš ir administratīvi sodīts saskaņā ar Meža likuma 51. panta ceturto, sesto, astoto, desmito, vienpadsmito, divpadsmito, četrpadsmito, piecpadsmito vai sešpadsmito daļu un kuram šī sodāmība nav dzēsta. Ziņas par izdarītajiem administratīvajiem pārkāpumiem uz projekta iesniegšanas dienu sadarbības iestāde iegūst no valsts informācijas sistēmas "Sodu reģistrs";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Ziemassvētku eglīšu stādījumiem;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koku audzēšanu īscirtmeta atvasājos, ātraudzīgo koku audzēšanu enerģijas ražošanai, kā arī tādu sugu audzēšanu, kas nav vietējās sugas;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tāda meža ieaudzēšanu, kurā koku skaits vienā hektārā ir mazāks par minimālo skaitu, lai atzītu mežaudzi par ieaudzētu;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meža ieaudzēšanu ilggadīgo zālāju platībās, tostarp tādās, kas atzītas par bioloģiski vērtīgiem zālājiem vai putnu dzīvotnēm zālājos, kuras atkarīgas no lauksaimnieciskās darbības.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Atbalstu ieaudzētās mežaudzes agrotehniskajai kopšanai, lai novērstu lakstaugu, puskrūmu, nevēlamu krūmu un koku atvašu konkurenci ap mērķsugas kokiem, izmaksā, ievērojot šādus nosacījumus atbilstoši projekta iesniegumā sniegtajai informācijai: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izmaksu veic ne biežāk kā vienu reizi kalendāra gadā līdz 2030. gada 31. decembrim;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piešķir par to mežaudžu agrotehnisko kopšanu, kas ierīkotas, īstenojot meža ieaudzēšanu pasākuma ceturtās un piektās kārtas ietvaros.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Atbalstu ūdens līmeņa regulācijas un meliorācijas sistēmas izbūvei, pārbūvei vai atjaunošanai nepiešķir: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minēto darbību veikšanu dabiskās ūdenstecēs un ūdenstilpēs;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drenu un drenu kolektoru iegādi un uzstādīšanu.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Atbalstu ūdens līmeņa regulācijas un meliorācijas sistēmas izbūvei, pārbūvei vai atjaunošanai pasākuma ceturtajā un piektajā atlases kārtā piešķir tikai tādas ūdens līmeņa regulācijas un meliorācijas sistēmas izbūvei, atjaunošanai vai pārbūvei, kura atrodas finansējuma saņēmēja vai sadarbības partnera (ja attiecināms) īpašumā, valdījumā vai turējumā esošā īpašumā vai nekustamajā īpašumā, uz kuru finansējuma saņēmējam vai sadarbības partnerim (ja attiecināms) ir apbūves tiesība.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un sadarbības partneris (ja attiecināms), lai saņemtu izmaksu par meža ieaudzēšanu un agrotehnisko kopšanu, saskaņā ar metodiku sagatavo un, izmantojot Meža valsts reģistra ģeogrāfiskās informācijas sistēmu, iesniedz Valsts meža dienestā pārskatu par veikto meža ieaudzēšanu un ieaudzētā meža agrotehnisko kopšanu. Pārskatam attiecībā uz meža ieaudzēšanu pievieno: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stādāmā materiāla izcelsmi un iegādi apliecinošu dokumentu kopiju;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ieaudzētā meža platības skici;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saskaņojumu, ja plānošanas dokumentos meža ieaudzēšana nav tieši norādīta atbilstoši šo noteikumu </w:t>
      </w:r>
      <w:r w:rsidR="00000000" w:rsidRPr="00000000" w:rsidDel="00000000">
        <w:rPr>
          <w:rtl w:val="0"/>
        </w:rPr>
        <w:t xml:space="preserve">73.9.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saskaņojumus ar Aizsargjoslu likumā noteiktajām institūcijām, ja meža ieaudzēšana pasākuma ceturtās un piektās atlases kārtas ietvaros īstenota aizsargjoslās.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Valsts meža dienests mēneša laikā pēc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minētās informācijas saņemšanas: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ieaudzētās mežaudzes un ieaudzētā meža agrotehniski koptās platības;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platību nosaka ar precizitāti +/– 2,5 x P/10000, kur P ir poligona perimetrs metros. Ja pārskatā norādītā platība atšķiras no pārbaudē noteiktās platības, pārsniedzot pieļaujamo kļūdu līdz divām zīmēm aiz komata, atbalsta aprēķinam saskaņā ar metodiku izmanto pārbaudē uzmērīto platību;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lēmumu par mežaudzes atbilstību ieaudzētam mežam un tās agrotehnisko kopšanu un paziņo to finansējuma saņēmējam, sadarbības partnerim (ja attiecināms) un sadarbības iestādei, izmantojot Meža valsts reģistru un oficiālās elektroniskās adreses kontu.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un sadarbības partneris (ja attiecināms) projekta īstenošanas un pēcuzraudzības periodā nodrošina, ka projekta īstenošanas platībai ir skaidri iezīmētas ārējās robežas dabā un īstenotās darbības dabā ir identificējamas, kā arī nodrošina piekļuvi projekta īstenošanas vietai.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un sadarbības partneris (ja attiecināms), lai saņemtu izmaksu par ūdens līmeņa regulācijas un meliorācijas sistēmu izbūvi, pārbūvi vai atjaunošanu, iesniedz sadarbības iestādē pieņemšanas un nodošanas aktu, kurā norādīta darbību īstenošanas vieta un informācija par izbūvēto, atjaunoto vai pārbūvēto sistēmu.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Pasākuma ceturtās un piektās atlases kārtas ietvaros darbībām meža ieaudzēšanai, meža ūdens līmeņa regulācijas un meliorācijas sistēmu izbūvei, atjaunošanai vai pārbūvei un ieaudzētā meža agrotehniskajai kopšanai, kas īstenotas saskaņā ar metodiku, piemērojams </w:t>
      </w:r>
      <w:r w:rsidR="00000000" w:rsidRPr="00000000" w:rsidDel="00000000">
        <w:rPr>
          <w:i w:val="1"/>
          <w:rtl w:val="0"/>
        </w:rPr>
        <w:t xml:space="preserve">de minimis </w:t>
      </w:r>
      <w:r w:rsidR="00000000" w:rsidRPr="00000000" w:rsidDel="00000000">
        <w:rPr>
          <w:rtl w:val="0"/>
        </w:rPr>
        <w:t xml:space="preserve">atbalsts saskaņā ar regulu 2023/2831, ja ir ievēroti arī visi šādi regulas 2023/2831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2023/2831 1. panta 1. punkta "a", "b", "c" un "d" apakšpunktā minētos nozaru ierobežojumus un regulas 2023/2831 1. panta 1. punkta "e" un "f" apakšpunktā minētos darbības ierobežojumus. Ja finansējuma saņēmējs vai sadarbības partneris (ja attiecināms) vienlaikus darbojas vienā vai vairākās nozarēs vai veic citas darbības nozarēs, kas neietilpst regulas 2023/2831 darbības jomā, tas nodrošina šo nozaru darbību vai izmaksu nodalīšanu saskaņā ar regulas 2023/2831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 </w:t>
      </w:r>
      <w:r w:rsidR="00000000" w:rsidRPr="00000000" w:rsidDel="00000000">
        <w:rPr>
          <w:rtl w:val="0"/>
        </w:rPr>
        <w:t xml:space="preserve">atbalsta piešķiršanas pārbauda, vai finansējuma saņēmējam un sadarbības partnerim (ja attiecināms) kā komersantam jau piešķirtais un plānotais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atbalsts viena vienota uzņēmuma līmenī nepārsniedz regulas 2023/2831 3. panta 2. punktā noteikto robežlielumu jeb 300 000 </w:t>
      </w:r>
      <w:r w:rsidR="00000000" w:rsidRPr="00000000" w:rsidDel="00000000">
        <w:rPr>
          <w:i w:val="1"/>
          <w:rtl w:val="0"/>
        </w:rPr>
        <w:t xml:space="preserve">euro </w:t>
      </w:r>
      <w:r w:rsidR="00000000" w:rsidRPr="00000000" w:rsidDel="00000000">
        <w:rPr>
          <w:rtl w:val="0"/>
        </w:rPr>
        <w:t xml:space="preserve">iepriekšējos trijos gados no plānotā atbalsta piešķiršanas dienas. Izvērtējot finanšu atbalsta apmēru, jāvērtē piešķirtais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regulas 2023/2831 2. panta 2. punktā norādītajiem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gadījumā projekta iesniegumam pievieno </w:t>
      </w:r>
      <w:r w:rsidR="00000000" w:rsidRPr="00000000" w:rsidDel="00000000">
        <w:rPr>
          <w:i w:val="1"/>
          <w:rtl w:val="0"/>
        </w:rPr>
        <w:t xml:space="preserve">de minimis</w:t>
      </w:r>
      <w:r w:rsidR="00000000" w:rsidRPr="00000000" w:rsidDel="00000000">
        <w:rPr>
          <w:rtl w:val="0"/>
        </w:rPr>
        <w:t xml:space="preserve"> 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piešķiršanas brīdis ir diena, kad tiek pieņemts lēmums par projekta iesnieguma apstiprināšanu vai sniegts atzinums par lēmumā noteikto nosacījumu izpildi, ja iepriekš pieņemts lēmums par projekta iesnieguma apstiprināšanu ar nosacījumu. Ja papildu </w:t>
      </w:r>
      <w:r w:rsidR="00000000" w:rsidRPr="00000000" w:rsidDel="00000000">
        <w:rPr>
          <w:i w:val="1"/>
          <w:rtl w:val="0"/>
        </w:rPr>
        <w:t xml:space="preserve">de minimis </w:t>
      </w:r>
      <w:r w:rsidR="00000000" w:rsidRPr="00000000" w:rsidDel="00000000">
        <w:rPr>
          <w:rtl w:val="0"/>
        </w:rPr>
        <w:t xml:space="preserve">atbalsts tiek piešķirts projekta īstenošanas laikā, par atbalsta piešķiršanas brīdi uzskata dienu, kad tiek parakstīti attiecīgie civiltiesiskā līguma vai vienošanās par projekta īstenošanu grozījumi;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piešķir atbilstoši šiem noteikumiem, par vienām un tām pašām attiecināmajām izmaksām nedrīkst kumulēt ar citas atbalsta programmas sniegto komercdarbības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Lēmumu par atbalsta piešķiršanu saskaņā ar regulu 2023/2831 var pieņemt līdz šīs regulas darbības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Darbību izmaksas ir attiecināmas no 2026. gada 1. janvāra, taču projekts kopumā nedrīkst būt pabeigts un tā darbības nedrīkst būt pilnībā īstenotas pirms projekta iesnieguma iesniegšanas sadarbības iestādē.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Atbalsta saņemšanas nosacījumi, attiecināmās izmaksas un komercdarbības atbalsta regulējums ilggadīgo stādījumu izveidē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Pasākuma piektās atlases kārtas ietvaros īstenojot ilggadīgo stādījumu izveidi, plāno tiešās attiecināmās izmaksas. Par attiecināmām uzskatāmas tikai tādas izmaksas, kas ir tieši saistītas ar ilggadīgo stādījumu izveidi.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Pasākuma piektās atlases kārtas ietvaros tiešās attiecināmās ilggadīgo stādījumu un to audzēšanai nepieciešamās infrastruktūras izveides izmaksas ietver šādas izmaksu pozīcijas: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un projekta īstenošanu pamatojošās dokumentācijas sagatavošanas izmaksas (izņemot projekta iesnieguma veidlapas aizpildīšanas izmaksas), kas tieši saistītas ar projektā plānotajām darbībām, nepārsniedzot 15 procentus no projekta kopējām attiecināmajām izmaksām: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hidroģeoloģiskā un melioratīvā modeļa izstrādes un hidroloģisko un hidraulisko aprēķinu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hidrologa atzinuma sagatavošanu par jaunizveidojamās apūdeņošanas sistēmas ietekmi uz pazemes un virszemes ūdensobjektiem (ja attiecināms);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būvniecības ieceres dokumentācijas, būvprojekta sagatavošanas un ar to saistītās normatīvajos aktos paredzētās būvekspertīzes izmaksas atbilstoši būvniecības jomu regulējošiem normatīvajiem aktiem (ja attiecināms);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autoruzraudzības un būvdarbu būvuzraudzības izmaksas atbilstoši būvniecības jomu regulējošiem normatīvajiem aktiem;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revitalizācijas saskaņošanas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atjaunoto teritoriju apsaimniekošanas plānu izstrādes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ietekmes sākotnējā izvērtējuma un ietekmes uz vidi novērtējuma, kā arī tehnisko noteikumu sagatavošanas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sagatavošanas izmaksas ilggadīgo stādījumu ierīkošanai, tostarp:</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attīrīšanu no nevēlamās zemsedzes un uzkrātajiem materiāliem, kuri attiecināmi uz revitalizācijas veiksmīgu īstenošanu, piemēram, celmu, siekstu izvešana, attīrīšana no nevēlamās zemsedzes, paaugas likvidācija un izvākšana, būvju nojaukšana, vēsturiskās būvtehnikas un citu materiālu utilizācija;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virsmas apstrādes izmaksas atkarībā no īstenojamā revitalizācijas veida, piemēram, virsmas planēšana, frēzēšana, dziļirdināšana, aparšana un citas līdzīgas tehniskas darbības;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un turpmākai apsaimniekošanai nepieciešamās piekļuves infrastruktūras (piemēram, pievedceļu, tehnoloģisko ceļu, brauktuvju un ar to saistītās infrastruktūras) izbūves, atjaunošanas un nojaukšanas izmaksas, kā arī piekļuves infrastruktūras pieņemšanai ekspluatācijā nepieciešamo satiksmes organizācijas tehnisko līdzekļu (piemēram, ceļa zīmju, aizsargbarjeru, signālstabiņu un horizontālo un vertikālo apzīmējumu) iegādes un izvietošanas izmaksas, nepārsniedzot astoņus procentus no projekta kopējām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hidrotehnisko un melioratīvo pasākumu izmaksas atbilstoša hidroloģiskā stāvokļa nodrošināšanai, tostarp:</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esošās ūdens līmeņa regulācijas un meliorācijas sistēmas (tai skaitā ūdensnoteku, novadgrāvju un grāvju) atjaunošanas, pārbūves, nojaukšanas un demontāžas izmaksas, ietverot izmaksas par ūdenstilpes izveidi, ūdens līmeņa regulācijas un meliorācijas sistēmas izbūvi, pārbūvi vai atjaunošanu;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caurteku atjaunošanas, izveidošanas un demontāžas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hidrotehnisko būvju, piemēram, dambju un aizsprostu, nojaukšanas un demontāžas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apūdeņošanas sistēmas izveidi, ietverot ūdenstilpes izveidi, ūdens līmeņa regulācijas un meliorācijas sistēmas izbūvi, pārbūvi vai atjaunošanu, un izmaksas, kas saistītas ar hidrotehnisko būvju (dambju un aizsprostu) būvniecību, lai nodrošinātu apūdeņošanas sistēmas izveidošanu un nodrošinātu stādījumiem atbilstošu mitruma līmeni;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ūdens resursu efektīvai izmantošanai – ziemas un pavasara ūdens uzkrāšanai, ūdens atkārtotai izmantošanai, ūdens patēriņa mērīšanas sistēmas iegādei un uzstādīšanai;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videi saudzīgu meliorācijas sistēmu elementu (piemēram, akmeņu krāvumu, sedimentācijas baseinu, divpakāpju grāvju, meandru un citu risinājumu) ierīkošanas izmaksas, tostarp arī mākslīgā mitrāja izveides izmaksas, lai attīrītu no jaunizveidotajiem stādījumiem notekošo ūdeni;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par tehnikas un iekārtu iegādi: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virszemes pretsalnas aizsardzībai, piemēram, pretsalnas laistīšanas, gaisa maisīšanas torņu, miglas ģeneratoru iegādes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pilienu laistīšanai ar precīzu mēslojuma un augu aizsardzības līdzekļu lietojumu, piemēram, ūdens padeves un spiediena nodrošināšanas iekārtu, filtrācijas iekārtu, cauruļu, individuālo pilinātāju, vadības un automatizācijas iekārtu, mēslojuma dozatoru iegādes izmaksas;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pretkrusas aizsardzībai – krusas aizsargtīklu iegādes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ilggadīgo stādījumu stādu (piemēram, krūmmelleņu, parastās niedres) un augu pavairojamā materiāla (piemēram, lielogu dzērveņu stīgu) iegādes, izkliedēšanas, stādīšanas un transportēšanas izmaksas, kā arī purva videi raksturīgo augu donormateriāla ievākšanas izmaksas donorteritorijās un to reintrodukcijas, tostarp izkliedēšanas un transportēšanas,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stādījumu ierīkošanas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analīžu izmaksas augsnes, ūdens kvalitātes un biogēno elementu novērtēšanai;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stādījumu balstu sistēmu, žogu un žogu balstu iegādes izmaksas, kā arī izmaksas, kas saistītas ar to uzstādīšanu;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par stādījumu mulčēšanu ar, piemēram, zāģskaidām, frēzkūdru un citiem materiāliem;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mēslošanas plāna izstrādes izmaksas, pamatojoties uz agroķīmisko pakalpojumu sniedzēju datiem, kas balstīti uz augšņu analīžu rezultātiem, kuri nav vecāki par vienu gadu;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izmaksas, nepārsniedzot vienu procentu no projekta kopējām tiešajām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Projektā var paredzēt līdzekļus neparedzētiem izdevumiem, nepārsniedzot četrus procentus no projekta kopējām attiecināmajām izmaksām. Neparedzētie izdevumi ir izdevumi tādu papildu darbu vai pakalpojumu veikšanai, kas kļuvuši nepieciešami, lai varētu izpildīt civiltiesisko līgumu par projekta īstenošanu, un tos var izmantot ar projekta īstenošanu saistīto attiecināmo izmaksu segšanai. Neparedzēto izdevumu izmantošanu pirms izmaksu veikšanas finansējuma saņēmējs un sadarbības partneris (ja attiecināms) saskaņo ar sadarbības iestādi.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Izmaksu attiecināmība, īstenojot ilggadīgo stādījumu izveidi, ir šāda: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ilggadīgo stādījumu izveidi īsteno mikrouzņēmumi, mazie un vidējie uzņēmumi, un saskaņā ar Komisijas 2022. gada 14. decembra Regulas (ES) 2022/2472, ar kuru, piemērojot Līguma par Eiropas Savienības darbību 107. un 108. pantu, dažu kategoriju atbalstu lauksaimniecības un mežsaimniecības nozarē un lauku apvidos atzīst par saderīgu ar iekšējo tirgu (turpmāk – regula 2022/2472), 14. panta 3. punkta "a" un "b" apakšpunktu attiecināmas ir šo noteikumu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izmaksas;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56.11. </w:t>
      </w:r>
      <w:r w:rsidR="00000000" w:rsidRPr="00000000" w:rsidDel="00000000">
        <w:rPr>
          <w:rtl w:val="0"/>
        </w:rPr>
        <w:t xml:space="preserve">apakšpunktā</w:t>
      </w:r>
      <w:r w:rsidR="00000000" w:rsidRPr="00000000" w:rsidDel="00000000">
        <w:rPr>
          <w:rtl w:val="0"/>
        </w:rPr>
        <w:t xml:space="preserve"> minētās izmaksas 100 procentu apmērā finansē no Taisnīgas pārkārtošanās fonda;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īstenojot ilggadīgo stādījumu izveidi, saskaņā ar šiem noteikumiem nav iekļaujamas projektā kā attiecināmās izmaksas, ir finansējamas ārpus projekta par finansējuma saņēmēja un sadarbības partnera (ja attiecināms) līdzekļiem, par kuriem nav saņemts nekāds komercdarbības atbalsts. Ārpus projekta nedrīkst paredzēt izmaksas par darbībām, kas tiešā veidā nodrošina projekta mērķa sasniegšanu, izņemot šo noteikumu </w:t>
      </w:r>
      <w:r w:rsidR="00000000" w:rsidRPr="00000000" w:rsidDel="00000000">
        <w:rPr>
          <w:rtl w:val="0"/>
        </w:rPr>
        <w:t xml:space="preserve">73.3.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minētās izmaksas.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Minimālā platība, par kuru finansējuma saņēmējam un sadarbības partnerim (ja attiecināms) piešķirams atbalsts ilggadīgo stādījumu izveidē, nav mazāka par 0,5 hektāriem.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Ogulāju pavairošanai un stādīšanai izmanto pārbaudītu standarta vai sertificētu pavairojamo materiālu saskaņā ar normatīvajiem aktiem par augļu koku un ogulāju pavairošanas materiāla atbilstības kritēriju un aprites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Lauksaimniecībā izmantojamai zemei, kas atrodas īpaši jutīgajā teritorijā, mēslošanas plānu izstrādā saskaņā ar normatīvajiem aktiem par prasībām ūdens, augsnes un gaisa aizsardzībai no lauksaimnieciskās darbības izraisīta piesārņojuma.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Ilggadīgo stādījumu ierīkošanu apliecina: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paludikultūrām – pieņemšanas un nodošanas akts, kurā norādīta ierīkotā platība, izmantotais primārās lauksaimniecības stādījuma veids un stādījumu ierīkošanas laiks, kā arī ģeotelpiskā karte, kas skaidri norāda paludikultūru izvietojumu, vai dokumentāri apliecinājumi kopā ar projekta iesniedzēja parakstītu apliecinājumu, ka stādījumi ierīkoti atbilstoši projektam;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ilggadīgajiem ogulājiem – krūmmellenēm, lielogu dzērvenēm un citām purvam raksturīgajām ogām – Lauku atbalsta dienesta uzturētās lauku bloku kartes apliecinājums, kurā reģistrēti jau izveidotie stādījumi, vai dokumentāri apliecinājumi kopā ar projekta iesniedzēja parakstītu apliecinājumu, ka stādījumi ierīkoti atbilstoši projektam.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Komercdarbības atbalstu, pasākuma piektās atlases kārtas ietvaros īstenojot ilggadīgo stādījumu izveidi, piešķir saskaņā ar regulas 2022/2472 14. panta 3. punkta "a" un "b" apakšpunktu, ja ir ievēroti šādi regulas 2022/2472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panta 52. punkta nosacījumi, ka atbalstu piemēro mikrouzņēmumiem, maziem un vidējiem uzņēmumiem, kuri nodarbojas ar primāro lauksaimniecisko ražošanu atbilstoši regulas 2022/2472 1. panta 1. punkta "a" apakšpunkta "i" apakšpunktam;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"c" un "d" apakšpunkta nosacījumi par gadījumiem, kādos nepiemēro regulu 2022/2472;</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komersantam uzņēmumu grupas līmenī, ja uz kādu no komersantiem attiecas līdzekļu atgūšanas rīkojums saskaņā ar iepriekšēju Komisijas lēmumu, ar ko atbalsts ir atzīts par nelikumīgu un nesaderīgu ar iekšējo tirgu;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panta 5. punkta nosacījumi, ka atbalsts netiek piešķirts grūtībās nonākušam komersantam, kuram atbilstoši regulas 2022/2472 2. panta 59. punktam uzņēmumu grupas līmenī konstatējama vismaz viena regulas Nr. 651/2014 2. panta 18. punktā minētā situācija;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 panta 6. un 7. punkta nosacījumi par pasākumiem, kuriem nepiemēro regulu 2022/2472;</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14. panta 5. punkta nosacījumi par atbalsta piešķiršanu tikai tādam projektam, kuram pirms projekta apstiprināšanas un civiltiesiskā līguma par projekta īstenošanu noslēgšanas (ja attiecināms) ir veikts ietekmes uz vidi novērtējums vai ietekmes uz </w:t>
      </w:r>
      <w:r w:rsidR="00000000" w:rsidRPr="00000000" w:rsidDel="00000000">
        <w:rPr>
          <w:i w:val="1"/>
          <w:rtl w:val="0"/>
        </w:rPr>
        <w:t xml:space="preserve">Natura 2000</w:t>
      </w:r>
      <w:r w:rsidR="00000000" w:rsidRPr="00000000" w:rsidDel="00000000">
        <w:rPr>
          <w:rtl w:val="0"/>
        </w:rPr>
        <w:t xml:space="preserve"> teritoriju novērtējums saskaņā ar normatīvajiem aktiem par ietekmes uz vidi novērtējumu;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14. panta 7. punkta nosacījumi par izmaksām, kas nav attiecināmas;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14. panta 9. punkta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14. panta 10. punkta nosacījums par Eiropas Parlamenta un Padomes 2013. gada 17. decembra Regulā (ES) Nr. 1308/2013, ar ko izveido lauksaimniecības produktu tirgu kopīgu organizāciju un atceļ Padomes Regulas (EEK) Nr. 922/72, (EEK) Nr. 234/79, (EK) Nr. 1037/2001 un (EK) Nr. 1234/2007, noteikto aizliegumu vai ierobežojumu ievērošanu, kā arī atbalsta sniegšanu augkopības sektoram.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projekta darbības, izņemot šo noteikumu </w:t>
      </w:r>
      <w:r w:rsidR="00000000" w:rsidRPr="00000000" w:rsidDel="00000000">
        <w:rPr>
          <w:rtl w:val="0"/>
        </w:rPr>
        <w:t xml:space="preserve">56.1.3. </w:t>
      </w:r>
      <w:r w:rsidR="00000000" w:rsidRPr="00000000" w:rsidDel="00000000">
        <w:rPr>
          <w:rtl w:val="0"/>
        </w:rPr>
        <w:t xml:space="preserve">apakšpunktā</w:t>
      </w:r>
      <w:r w:rsidR="00000000" w:rsidRPr="00000000" w:rsidDel="00000000">
        <w:rPr>
          <w:rtl w:val="0"/>
        </w:rPr>
        <w:t xml:space="preserve"> minēto būvprojekta izstrādi, ir uzsāktas un izmaksas ir radušās pirms projekta iesnieguma iesniegšanas sadarbības iestādē, projekta iesniegums tiek noraidīts.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Ar projekta izmaksām saistītos līgumus slēdz un ar ieguldījumiem saistītus darbus uzsāk pēc projekta iesnieguma iesniegšanas sadarbības iestādē, tai skaitā ievērojot arī regulas 2022/2472 2. panta 53. punktā minēto nosacījumu par projekta darbu vai darbību sākumu un regulas 2022/2472 6. panta 2. punktā minēto stimulējošās ietekmes prasību. Līgumi, kas var būt noslēgti pirms projekta iesnieguma iesniegšanas sadarbības iestādē, ir saistīti ar šo noteikumu </w:t>
      </w:r>
      <w:r w:rsidR="00000000" w:rsidRPr="00000000" w:rsidDel="00000000">
        <w:rPr>
          <w:rtl w:val="0"/>
        </w:rPr>
        <w:t xml:space="preserve">56.1.3. </w:t>
      </w:r>
      <w:r w:rsidR="00000000" w:rsidRPr="00000000" w:rsidDel="00000000">
        <w:rPr>
          <w:rtl w:val="0"/>
        </w:rPr>
        <w:t xml:space="preserve">apakšpunktā</w:t>
      </w:r>
      <w:r w:rsidR="00000000" w:rsidRPr="00000000" w:rsidDel="00000000">
        <w:rPr>
          <w:rtl w:val="0"/>
        </w:rPr>
        <w:t xml:space="preserve"> minētajām būvprojekta izstrādes izmaksām. Ja projekta darbības, izņemot šo noteikumu </w:t>
      </w:r>
      <w:r w:rsidR="00000000" w:rsidRPr="00000000" w:rsidDel="00000000">
        <w:rPr>
          <w:rtl w:val="0"/>
        </w:rPr>
        <w:t xml:space="preserve">56.3.1. </w:t>
      </w:r>
      <w:r w:rsidR="00000000" w:rsidRPr="00000000" w:rsidDel="00000000">
        <w:rPr>
          <w:rtl w:val="0"/>
        </w:rPr>
        <w:t xml:space="preserve">apakšpunktā</w:t>
      </w:r>
      <w:r w:rsidR="00000000" w:rsidRPr="00000000" w:rsidDel="00000000">
        <w:rPr>
          <w:rtl w:val="0"/>
        </w:rPr>
        <w:t xml:space="preserve"> minēto būvprojekta izstrādi, ir uzsāktas un izmaksas ir radušās pirms projekta iesnieguma iesniegšanas sadarbības iestādē, projekta iesniegums tiek noraidīts.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Komercdarbības atbalsta piešķiršanas diena atbilstoši regulas 2022/2472 2. panta 21. punktam ir diena, kad tiek pieņemts sadarbības iestādes lēmums par projekta iesnieguma apstiprināšanu vai izdots atzinums par lēmumā noteikto nosacījumu izpildi, ja iepriekš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Ievērojot regulas 2022/2472 14. panta 11. punktu, maksimālā Taisnīgas pārkārtošanās fonda finansējuma intensitāte šo noteikumu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minēto izmaksu segšanai, izņemot šo noteikumu </w:t>
      </w:r>
      <w:r w:rsidR="00000000" w:rsidRPr="00000000" w:rsidDel="00000000">
        <w:rPr>
          <w:rtl w:val="0"/>
        </w:rPr>
        <w:t xml:space="preserve">56.11. </w:t>
      </w:r>
      <w:r w:rsidR="00000000" w:rsidRPr="00000000" w:rsidDel="00000000">
        <w:rPr>
          <w:rtl w:val="0"/>
        </w:rPr>
        <w:t xml:space="preserve">apakšpunktā</w:t>
      </w:r>
      <w:r w:rsidR="00000000" w:rsidRPr="00000000" w:rsidDel="00000000">
        <w:rPr>
          <w:rtl w:val="0"/>
        </w:rPr>
        <w:t xml:space="preserve"> minētās izmaksas, ir 65 procenti.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63.3.</w:t>
      </w:r>
      <w:r w:rsidR="00000000" w:rsidRPr="00000000" w:rsidDel="00000000">
        <w:rPr>
          <w:rtl w:val="0"/>
        </w:rPr>
        <w:t xml:space="preserve"> un </w:t>
      </w:r>
      <w:r w:rsidR="00000000" w:rsidRPr="00000000" w:rsidDel="00000000">
        <w:rPr>
          <w:rtl w:val="0"/>
        </w:rPr>
        <w:t xml:space="preserve">63.4. </w:t>
      </w:r>
      <w:r w:rsidR="00000000" w:rsidRPr="00000000" w:rsidDel="00000000">
        <w:rPr>
          <w:rtl w:val="0"/>
        </w:rPr>
        <w:t xml:space="preserve">apakšpunktā</w:t>
      </w:r>
      <w:r w:rsidR="00000000" w:rsidRPr="00000000" w:rsidDel="00000000">
        <w:rPr>
          <w:rtl w:val="0"/>
        </w:rPr>
        <w:t xml:space="preserve"> minētos nosacījumus pārbauda uz projekta iesnieguma iesniegšanas brīdi sadarbības iestādē un uz komercdarbības atbalsta piešķiršanas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Lēmumu par atbalsta piešķiršanu saskaņā ar regulu 2022/2472 pieņem līdz tās darbības beigām.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Pasākuma un projekta īstenošanas un uzraudzības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Finansējuma saņēmējs un sadarbības partneris (ja attiecināms) projektu īsteno saskaņā ar civiltiesisko līgumu vai vienošanos par projekta īstenošanu, bet ne ilgāk kā līdz 2030.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Projekta ietvaros iepirkumus veic saskaņā ar publiskos iepirkumus regulējošo normatīvo aktu prasībām (ja attiecināms), īstenojot atklātu, pārredzamu, nediskriminējošu un konkurenci neierobežojošu procedūru, organizējot cenu aptaujas, izvēloties ekonomiski izdevīgāko piedāvājumu un pamatojot izvēli atbilstoši normatīvajos aktos noteiktajām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Pievienotās vērtības nodokļa (turpmāk – PVN) maksājumi, kas tiešā veidā saistīti ar projektu, nav uzskatāmi par attiecināmām izmaksām saskaņā ar regulas 2021/1060 64. panta 1. punkta "c" apakšpunktā ietvertajiem nosacījumiem, izņemot šādus gadījumus: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projektiem, kuru kopējās izmaksas ir mazākas par 5 milj. </w:t>
      </w:r>
      <w:r w:rsidR="00000000" w:rsidRPr="00000000" w:rsidDel="00000000">
        <w:rPr>
          <w:i w:val="1"/>
          <w:rtl w:val="0"/>
        </w:rPr>
        <w:t xml:space="preserve">euro</w:t>
      </w:r>
      <w:r w:rsidR="00000000" w:rsidRPr="00000000" w:rsidDel="00000000">
        <w:rPr>
          <w:rtl w:val="0"/>
        </w:rPr>
        <w:t xml:space="preserve">, ieskaitot PVN, izņemot gadījumus, kad finansējuma saņēmējs un sadarbības partneris (ja attiecināms) ir komercdarbības atbalsta, tai skaitā </w:t>
      </w:r>
      <w:r w:rsidR="00000000" w:rsidRPr="00000000" w:rsidDel="00000000">
        <w:rPr>
          <w:i w:val="1"/>
          <w:rtl w:val="0"/>
        </w:rPr>
        <w:t xml:space="preserve">de minimis</w:t>
      </w:r>
      <w:r w:rsidR="00000000" w:rsidRPr="00000000" w:rsidDel="00000000">
        <w:rPr>
          <w:rtl w:val="0"/>
        </w:rPr>
        <w:t xml:space="preserve">, saņēmējs, ņemot vērā regulas Nr. 651/2014 7. panta 1. punkta un regulas 2022/2472 7. panta 3. punkta nosacījumus, jo PVN tiešajām attiecināmajām izmaksām var tikt attiecināts tikai tad, ja tas nav atgūstams atbilstoši normatīvajiem aktiem nodokļu politikas jomā;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projektiem, kuru kopējās izmaksas ir vismaz 5 milj. </w:t>
      </w:r>
      <w:r w:rsidR="00000000" w:rsidRPr="00000000" w:rsidDel="00000000">
        <w:rPr>
          <w:i w:val="1"/>
          <w:rtl w:val="0"/>
        </w:rPr>
        <w:t xml:space="preserve">euro</w:t>
      </w:r>
      <w:r w:rsidR="00000000" w:rsidRPr="00000000" w:rsidDel="00000000">
        <w:rPr>
          <w:rtl w:val="0"/>
        </w:rPr>
        <w:t xml:space="preserve">, ieskaitot PVN, ja tas nav atgūstams saskaņā ar normatīvajiem aktiem pievienotās vērtības nodokļa jomā.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Īstenojot projektu, finansējuma saņēmējs un sadarbības partneris (ja attiecināms) pasākuma ceturtajā un piektajā atlases kārtā: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komunikācijas un vizuālās identitātes nodrošināšanas pasākumus šādā apjomā: </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ceturtajā atlases kārtā nodrošina pasākumus atbilstoši regulas 2021/1060 47. un 50. pantam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piektajā atlases kārtā, ja finansējuma saņēmējs ir fiziska persona, sadarbības iestāde, ievērojot šo noteikumu </w:t>
      </w:r>
      <w:r w:rsidR="00000000" w:rsidRPr="00000000" w:rsidDel="00000000">
        <w:rPr>
          <w:rtl w:val="0"/>
        </w:rPr>
        <w:t xml:space="preserve">73.1.1. </w:t>
      </w:r>
      <w:r w:rsidR="00000000" w:rsidRPr="00000000" w:rsidDel="00000000">
        <w:rPr>
          <w:rtl w:val="0"/>
        </w:rPr>
        <w:t xml:space="preserve">apakšpunktā</w:t>
      </w:r>
      <w:r w:rsidR="00000000" w:rsidRPr="00000000" w:rsidDel="00000000">
        <w:rPr>
          <w:rtl w:val="0"/>
        </w:rPr>
        <w:t xml:space="preserve"> minēto normatīvo aktu prasības, nodrošina komunikācijas un vizuālās identitātes pasākumu īstenošanu, pēc civiltiesiskā līguma par projektu īstenošanu parakstīšanas publicējot informāciju par projektu;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piektajā atlases kārtā, ja finansējuma saņēmējs ir juridiska persona, finansējuma saņēmējs nodrošina šo noteikumu </w:t>
      </w:r>
      <w:r w:rsidR="00000000" w:rsidRPr="00000000" w:rsidDel="00000000">
        <w:rPr>
          <w:rtl w:val="0"/>
        </w:rPr>
        <w:t xml:space="preserve">73.1.1. </w:t>
      </w:r>
      <w:r w:rsidR="00000000" w:rsidRPr="00000000" w:rsidDel="00000000">
        <w:rPr>
          <w:rtl w:val="0"/>
        </w:rPr>
        <w:t xml:space="preserve">apakšpunktā</w:t>
      </w:r>
      <w:r w:rsidR="00000000" w:rsidRPr="00000000" w:rsidDel="00000000">
        <w:rPr>
          <w:rtl w:val="0"/>
        </w:rPr>
        <w:t xml:space="preserve"> minēto normatīvo aktu prasību izpildi;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ceturtajā atlases kārtā savā tīmekļvietnē ievieto aktuālo informāciju par projekta īstenošanu un aktualizē to atbilstoši nepieciešamībai;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sedz projekta izmaksu pieaugumu no saviem līdzekļiem. Finansējuma saņēmējs un sadarbības partneris (ja attiecināms), kuri īsteno darbības atbilstoši komercdarbības atbalsta regulējumam, to projekta izmaksu pieaugumu, kuru finansēšana kvalificējama kā komercdarbības atbalsts, finansē no līdzekļiem, kas ir brīvi no jebkāda komercdarbības atbalsta;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dubultā finansējuma neiestāšanos un to, ka projektā plānotie darbi netiek finansēti vai līdzfinansēti, kā arī tos nav plānots finansēt vai līdzfinansēt no citiem valsts vai ārvalstu finanšu atbalsta instrumentiem;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saimnieciskās darbības, kā arī nodalot projekta ietvaros veiktās darbības, par kurām tiek saņemts komercdarbības atbalsts, no darbībām, kurām netiek piemērots komercdarbības atbalsta kontroles regulējums;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projekta civiltiesiskā līguma vai vienošanās par projekta īstenošanu nosacījumos un projekta iesniegumā noteikto uzraudzības rādītāju sasniegšanu;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ka nekustamais īpašums vai tā daļa, kurā tiek īstenotas projektā paredzētās darbības, visa projekta dzīves cikla laikā ir finansējuma saņēmēja vai sadarbības partnera (ja attiecināms) īpašumā, valdījumā vai turējumā vai arī atrodas nekustamajā īpašumā, uz kuru finansējuma saņēmējam un sadarbības partnerim (ja attiecināms) ir spēkā esoša apbūves tiesība;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piešķirtais komercdarbības atbalsts netiek apvienots ar finansējumu no citas atbalsta programmas, kuras finansējums tiek piešķirts no vietējiem, reģionālajiem, valsts vai Eiropas Savienības finanšu līdzekļiem par tām pašām attiecināmajām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revitalizāciju īsteno atbilstoši teritorijas attīstības plānošanas dokumentos noteiktajām prasībām vai saskaņo ar pašvaldību, kuras teritorijā atrodas nekustamais īpašums, kurā tiks īstenotas projekta darbības, ja teritorijas attīstības plānošanas dokumentos nav tieši norādīts atbilstošs nekustamā īpašuma lietošanas mērķa veids; </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zemes lietojuma veida vai nekustamā īpašuma lietošanas mērķa maiņas ierosināšanu atbilstoši normatīvajiem aktiem par nekustamā īpašuma lietošanas mērķu klasifikāciju un nekustamā īpašuma lietošanas mērķu noteikšanas un maiņas kārtību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ka revitalizācija tiek īstenota atbilstoši ietekmes uz vidi novērtējuma vai ietekmes sākotnējā izvērtējuma procedūrām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ka revitalizācijas darbību īstenošana negatīvi neietekmēs apkārt esošās ūdenstilpes un apkārt esošo teritoriju ūdens līmeņa regulācijas un meliorācijas sistēmas funkcionalitāti un netiks izmainīts to hidroloģiskais stāvoklis, kā arī nodrošina, ka teritorijās, kur ilggadīgie stādījumi līdz šim nav audzēti, to ierīkošana tiks paredzēta tā, lai tie neapdraudētu blakus esošo teritoriju renaturalizācijai vai paludikultūru audzēšanai nepieciešamā hidroloģiskā režīma atjaunošanu;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nosaka būvdarbu un tehnisko kopšanas darbu veicējiem un pakalpojumu sniedzējiem pienākumu projekta ietvaros ievērot šādas horizontālā principa "Nenodarīt būtisku kaitējumu" prasības: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ievērots koku ciršanas un ieaudzētā meža agrotehniskās kopšanas darbību īstenošanas aizliegums putnu ligzdošanas periodā (ja attiecināms);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ūdens līmeņa regulācijas un meliorācijas sistēmas izbūvi, pārbūvi vai atjaunošanu normatīvajos aktos par riska ūdensobjektiem noteiktajos riska ūdensobjektu sateces baseinos, atbalstu par ūdens līmeņa regulācijas un meliorācijas sistēmu pārbūvi un atjaunošanu var saņemt tikai par videi saudzīgu meliorācijas sistēmu izbūvi;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īpaši aizsargājamās dabas teritorijās un mikroliegumos un Eiropas Savienības nozīmes biotopos un sugu dzīvotnēs, kas reģistrētas Dabas aizsardzības pārvaldes uzturētajā dabas datu portālā "Ozols", projekta darbības tiek īstenotas saskaņā ar īpaši aizsargājamu dabas teritoriju dabas aizsardzības plāniem (ja attiecināms), īpaši aizsargājamās dabas teritorijas aizsardzības un izmantošanas noteikumiem (ja attiecināms) vai, ja nav spēkā esošu dabas, sugu vai biotopu aizsardzības plānu vai noteikumu, tad saskaņā ar sertificēta dabas eksperta atzinumu par darbību atbilstošu ietekmi uz biotopiem un sugu dzīvotnēm un, ja attiecināms, hidrologa atzinumu par plānotā ūdens līmeņa režīma izmaiņām un to ietekmi uz apkārtējām teritorijām, tostarp:</w:t>
      </w:r>
    </w:p>
    <w:p w:rsidP="00000000" w:rsidRDefault="00000000" w:rsidR="00000000" w:rsidRPr="00000000" w:rsidDel="00000000">
      <w:pPr>
        <w:numPr>
          <w:ilvl w:val="3"/>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 līmeņa regulācijas un meliorācijas sistēmas izbūve, atjaunošana vai pārbūve netiek īstenota, ja to nepieļauj īpaši aizsargājamās teritorijas dabas aizsardzības plāns vai īpaši aizsargājamās dabas teritorijas aizsardzības un izmantošanas noteikumi. Ja ūdens līmeņa regulācijas un meliorācijas sistēmas izbūve, atjaunošana vai pārbūve ir pieļaujama, tad tā tiek saskaņota ar Dabas aizsardzības pārvaldi;</w:t>
      </w:r>
    </w:p>
    <w:p w:rsidP="00000000" w:rsidRDefault="00000000" w:rsidR="00000000" w:rsidRPr="00000000" w:rsidDel="00000000">
      <w:pPr>
        <w:numPr>
          <w:ilvl w:val="3"/>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mežs tiek ieaudzēts īpaši aizsargājamā dabas teritorijā, mikroliegumā vai Eiropas Savienības nozīmes biotopā, tad projekta īstenotājs saņem Dabas aizsardzības pārvaldes saskaņojumu, bet mikroliegumu un Eiropas Savienības nozīmes biotopu gadījumā – arī dabas eksperta atzinumu par darbību atbilstību.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atbalstāmo darbību attiecināmās izmaksas nosaka saskaņā ar metodiku, piemērojot vienas vienības izmaksu likmes, metodikā noteiktos aprēķinus un nosacījumus to noteikšanai. Metodiku atbildīgā iestāde ievieto savā tīmekļvietnē pēc tās apstiprināšanas, bet ne vēlāk kā piecas darbdienas pirms ceturtās un piektās kārtas atlases izsludināšanas.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Pasākuma ceturtajā un piektajā atlases kārtā finansējuma saņēmējs un sadarbības partneris (ja attiecināms) nodrošina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ieņēmumu uzskaiti gada griezumā un iesniedz sadarbības iestādē atbilstošu informāciju pēc sadarbības iestādes pieprasījuma. Ja, īstenojot renaturalizāciju un ūdenstilpju izveidi, ieņēmumi projekta dzīves ciklā pēc projekta darbību pabeigšanas pārsniedz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apmēru, finansējuma saņēmējs un sadarbības partneris (ja attiecināms) nekavējoties informē par to sadarbības iestādi.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Finansējuma saņēmējs un sadarbības partneris (ja attiecināms) nodrošina, ka ar komercdarbības atbalstu saistīto projekta dokumentāciju glabā 10 gadus no dienas, kad saskaņā ar šiem noteikumiem piešķirts komercdarbības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Sadarbības iestāde informāciju par sniegto komercdarbības atbalstu un komercdarbības atbalstu apliecinošos dokumentus glabā 10 gadus no dienas, kad saskaņā ar šiem noteikumiem piešķirts pēdējais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Sadarbības iestāde nodrošina komercdarbības atbalsta pārredzamības prasību izpildi atbilstoši regulas Nr. 651/2014 9. panta 1. un 4. punktam, regulas 2022/2472 9. panta 1. punktam un normatīvajam aktam par kārtību, kādā publicē informāciju par sniegto komercdarbības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Ja tiek pārkāpti regulas Nr. 651/2014, regulas 2023/2831 vai regulas 2022/2472 nosacījumi, finansējuma saņēmējam un sadarbības partnerim (ja attiecināms) ir pienākums atmaksāt sadarbības iestādei projekta ietvaros saņemto nelikumīgo komercdarbības atbalstu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Pēc civiltiesiskā līguma vai vienošanās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2021.–2027. gada plānošanas periodā nodrošina finansējuma saņēmējam avansa maksājumus, kurus var izmaksāt vairākos maksājumos, ievērojot, ka avansa un starpposma maksājumu kopsumma nepārsniedz 50 procentus no projektam piešķirtā Taisnīgas pārkārtošanās fonda finansējuma.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Avansa maksājuma izlietošanas laiks finansējuma saņēmējam nepārsniedz sešus mēnešus. Pašvaldībām avansa maksājumi jāplāno atbilstoši to spējai to izlietot sešu mēnešu laikā saimnieciskā gada ietvaros.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Sadarbības iestādei, revīzijas iestādei, Eiropas Komisijai vai Eiropas Komisijas ekspertiem ir tiesības pieprasīt finansējuma saņēmējam un sadarbības partnerim (ja attiecināms) visus projekta izmaksas pamatojošos dokumentus un veikt pārbaudes projekta īstenošanas vietā, tai skaitā pirms projekta iesnieguma apstiprināšanas.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papildu komercdarbības atbalsts tiek piešķirts projekta īstenošanas laikā saskaņā ar regulas Nr. 651/2014 45. panta 2. punkta "c" un "d" apakšpunktu, tad par atbalsta piešķiršanas brīdi uzskata dienu, kad tiek parakstīti attiecīgie civiltiesiskā līguma vai vienošanās par projekta īstenošanu grozījumi.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ar saimniecisku darbību nesaistīts projekts vai tā daļa projekta dzīves cikla laikā kļūst par projektu, kas saistīts ar saimniecisku darbību, kuram sniegtais atbalsts būtu kvalificējams kā komercdarbības atbalsts, finansējuma saņēmējs un sadarbības partneris (ja attiecināms) no finansējuma, par kuru nav saņemts nekāds komercdarbības atbalsts, atmaksā sadarbības iestādei visu nelikumīgi saņemto komercdarbības atbalstu kopā ar procentiem saskaņā ar Komercdarbības atbalsta kontroles likuma IV vai V nodaļu, izņemot gadījumu, ja ir iespējams piešķirt komercdarbības atbalstu saskaņā ar regulas Nr. 651/2014 45. panta 2. punkta "c" un "d" apakšpunktu par attiecināmajām izmaksām un atbalstāmajām darbībām, kas atbilst šajos noteikumos paredzētajām izmaksām un darbībām, lai komercdarbības atbalsts varētu tikt piešķirts atbilstoši regulas Nr. 651/2014 45. panta 2. punkta "c" un "d" apakšpunktam, vai arī ja nav iespējams piešķirt </w:t>
      </w:r>
      <w:r w:rsidR="00000000" w:rsidRPr="00000000" w:rsidDel="00000000">
        <w:rPr>
          <w:i w:val="1"/>
          <w:rtl w:val="0"/>
        </w:rPr>
        <w:t xml:space="preserve">de minimis </w:t>
      </w:r>
      <w:r w:rsidR="00000000" w:rsidRPr="00000000" w:rsidDel="00000000">
        <w:rPr>
          <w:rtl w:val="0"/>
        </w:rPr>
        <w:t xml:space="preserve">atbalstu saskaņā ar regulu 2023/2831 par attiecināmajām izmaksām un atbalstāmajām darbībām, kas atbilst šajos noteikumos paredzētajām izmaksām un darbībām, lai komercdarbības atbalsts varētu tikt piešķirts atbilstoši regulai 2023/2831.</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25-TA-2249</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25-TA-2249</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noteikumu_projekts_25-TA-2249.docx</dc:title>
</cp:coreProperties>
</file>

<file path=docProps/custom.xml><?xml version="1.0" encoding="utf-8"?>
<Properties xmlns="http://schemas.openxmlformats.org/officeDocument/2006/custom-properties" xmlns:vt="http://schemas.openxmlformats.org/officeDocument/2006/docPropsVTypes"/>
</file>