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 gada 21.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 Kompensācijas aprēķins, ja apstiprinātais centralizētās siltumapgādes pakalpojuma tarifs pārsniedz 150 EUR/MWh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sniedzēja 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Centralizētās siltumapgādes pakalpojuma maksas samazinājuma kompensācijas aprēķins,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ja apstiprinātais centralizētās siltumapgādes pakalpojuma tarifs pārsniedz 150 EUR/MWh, 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saskaņā ar Energoresursu cenu ārkārtēja pieauguma samazinājuma pasākumu likuma 7. panta otro un 2.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daļu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par 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i w:val="1"/>
          <w:rtl w:val="0"/>
        </w:rPr>
        <w:t xml:space="preserve">norādīt mēnesi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b w:val="1"/>
          <w:rtl w:val="0"/>
        </w:rPr>
        <w:t xml:space="preserve"> 2022./2023. gada apkures sezonā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sniedzējs siltumapgādes pakalpojumus nodrošina par (</w:t>
      </w:r>
      <w:r w:rsidR="00000000" w:rsidRPr="00000000" w:rsidDel="00000000">
        <w:rPr>
          <w:i w:val="1"/>
          <w:rtl w:val="0"/>
        </w:rPr>
        <w:t xml:space="preserve">atzīmēt atbilstošo</w:t>
      </w:r>
      <w:r w:rsidR="00000000" w:rsidRPr="00000000" w:rsidDel="00000000">
        <w:rPr>
          <w:rtl w:val="0"/>
        </w:rPr>
        <w:t xml:space="preserve">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Sabiedrisko pakalpojumu regulēšanas komisijas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pašvaldības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07"/>
        <w:gridCol w:w="4907"/>
        <w:gridCol w:w="1724"/>
        <w:gridCol w:w="1800"/>
        <w:tblGridChange w:id="0">
          <w:tblGrid>
            <w:gridCol w:w="607"/>
            <w:gridCol w:w="4907"/>
            <w:gridCol w:w="1724"/>
            <w:gridCol w:w="180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Aktuālais apstiprinātais tarifs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apstiprināto tarifu (3. punkts) un 150,00 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reizināta ar 0,9 (90 %)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150,00 EUR/MWh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punktā norādītā starpība, reizināta ar 0,5 (50 %)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 (2. punkts x 5. punkts + 2. punkts x 7. 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energoresursiem, izņemot atbalstu, kas tiek piemērots juridiskajai personai.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Pašvaldības lēmums par spēkā esošo apstiprināto siltumenerģijas tarifu (ja attiecināms).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22-TA-3521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22-TA-3521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noteikumu_konsolidētā_versija_p1_1_22-TA-3521.docx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