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817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17. decembrī (prot. Nr. 53 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21. decembra noteikumos Nr. 888 "Kārtība, kādā ministrijas un citas centrālās valsts iestādes iekļauj gadskārtējā valsts budžeta likumprojektā valsts aizdevumu pieprasījumus, un valsts aizdevumu izsniegšanas un apkalpošanas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 19.² pantu</w:t>
      </w:r>
      <w:r w:rsidR="00000000" w:rsidRPr="00000000" w:rsidDel="00000000">
        <w:rPr>
          <w:rStyle w:val="paragraph"/>
          <w:i w:val="1"/>
          <w:rtl w:val="0"/>
        </w:rPr>
        <w:t xml:space="preserve"> un </w:t>
      </w:r>
      <w:r w:rsidR="00000000" w:rsidRPr="00000000" w:rsidDel="00000000">
        <w:rPr>
          <w:rStyle w:val="paragraph"/>
          <w:i w:val="1"/>
          <w:rtl w:val="0"/>
        </w:rPr>
        <w:t xml:space="preserve">36. panta</w:t>
      </w:r>
      <w:r w:rsidR="00000000" w:rsidRPr="00000000" w:rsidDel="00000000">
        <w:rPr>
          <w:rStyle w:val="paragraph"/>
          <w:i w:val="1"/>
          <w:rtl w:val="0"/>
        </w:rPr>
        <w:t xml:space="preserve">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2021. gada 21. decembra noteikumos Nr. 888 "Kārtība, kādā ministrijas un citas centrālās valsts iestādes iekļauj gadskārtējā valsts budžeta likumprojektā valsts aizdevumu pieprasījumus, un valsts aizdevumu izsniegšanas un apkalpošanas kārtība" (Latvijas Vēstnesis, 2021, 249.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62.1.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"62.1. pašvaldībai – 0 %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67.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"67. Pēc aizņēmēja rakstiska pieteikuma saņemšanas Valsts kase valsts aizdevuma procentu likmi izsniegtajam valsts aizdevumam pārskata vienu reizi divos gados līguma darbības laikā saskaņā ar šādiem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67.1. sākot ar otro izsniegtā aizdevuma līguma darbības gadu, ja starpība starp iepriekš noteikto valsts aizdevuma procentu likmi un to likmi, ko piemēro no valsts budžeta izsniedzamajiem aizdevumiem atbilstošajā valūtā, ir lielāka par 0,8 % un atlikušais termiņš līdz aizdevuma atmaksas beigu termiņam pārsniedz divus gadus;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67.2. valsts aizdevuma procentu likmes fiksēšanas periodu drīkst mainīt, nepiemērojot šo noteikumu 67.1.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86.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vertAlign w:val="superscript"/>
          <w:rtl w:val="0"/>
        </w:rPr>
        <w:t xml:space="preserve">1</w:t>
      </w:r>
      <w:r w:rsidR="00000000" w:rsidRPr="00000000" w:rsidDel="00000000">
        <w:rPr>
          <w:rtl w:val="0"/>
        </w:rPr>
        <w:t xml:space="preserve"> Šo noteikumu 62.1. apakšpunktā noteiktā valsts aizdevumu apkalpošanas maksa 0 % gadā pašvaldībai piemērojama tikai no jauna izsniegtiem valsts aizdevumiem, sākot ar 2025. gada 1. janvāri.";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86.</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vertAlign w:val="superscript"/>
          <w:rtl w:val="0"/>
        </w:rPr>
        <w:t xml:space="preserve">2</w:t>
      </w:r>
      <w:r w:rsidR="00000000" w:rsidRPr="00000000" w:rsidDel="00000000">
        <w:rPr>
          <w:rtl w:val="0"/>
        </w:rPr>
        <w:t xml:space="preserve"> Valsts kase, pārskatot valsts aizdevuma procentu likmi atbilstoši šo noteikumu 67.1. apakšpunktā minētajiem nosacījumiem, pašvaldību aizdevuma līgumiem, kas noslēgti līdz 2024. gada 31. decembrim, starpības aprēķinā starp likmēm neiekļauj apkalpošanas maksu 0,25 %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2025.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24-TA-2656</w:t>
    </w:r>
    <w:r>
      <w:br/>
    </w:r>
    <w:r w:rsidR="00000000" w:rsidRPr="00000000" w:rsidDel="00000000">
      <w:rPr>
        <w:rtl w:val="0"/>
      </w:rPr>
      <w:t xml:space="preserve">Izdrukāts 29.07.2026. 23.39 - 1.0.VK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24-TA-2656</w:t>
    </w:r>
    <w:r>
      <w:br/>
    </w:r>
    <w:r w:rsidR="00000000" w:rsidRPr="00000000" w:rsidDel="00000000">
      <w:rPr>
        <w:rtl w:val="0"/>
      </w:rPr>
      <w:t xml:space="preserve">Izdrukāts 29.07.2026. 23.39 - 1.0.VK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noteikumu_(grozījumu)_projekts_24-TA-2656.docx</dc:title>
</cp:coreProperties>
</file>

<file path=docProps/custom.xml><?xml version="1.0" encoding="utf-8"?>
<Properties xmlns="http://schemas.openxmlformats.org/officeDocument/2006/custom-properties" xmlns:vt="http://schemas.openxmlformats.org/officeDocument/2006/docPropsVTypes"/>
</file>