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Bilances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Aktīvs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Ilgtermiņa ieguldījumi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Nemateriālie ieguldījumi.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Pamatlīdzekļi.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Nekustamais īpašums.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Pārējie pamatlīdzekļi.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Pamatlīdzekļu izveidošana un nepabeigto celtniecības objektu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Ilgtermiņa finanšu ieguldījumi.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Akcijas un daļas.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Nākamo periodu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Ilgtermiņa aizdevumi.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Apgrozāmie līdzekļi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Krājumi.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Materiāli.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Preces.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Debitori.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Nākamo periodu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Vērtspapīri.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Nauda.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Pasīvs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Fondi.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Pamatfonds.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Mērķfondi.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Iepriekšējo gadu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Pārskata gada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Ilgtermiņa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Ilgtermiņa aizņēmumi no kredītiestādēm.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Citi aizņēmumi.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Nākamo periodu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Īstermiņa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Īstermiņa aizņēmumi no kredītiestādēm.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Nodokļi un valsts sociālās apdrošināšanas obligātās iemaksas.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Nākamo periodu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Pārējie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Naudas maksājumi uzkrājumu fondā.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