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Noziedzīgi iegūtas mantas konfiskācijas izpildes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Noziedzīgi iegūtas mantas konfiskācijas izpildes likumā (Latvijas Republikas Saeimas un Ministru Kabineta Ziņotājs, Latvijas Vēstnesis, 2017, 132.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pārejas noteikumus ar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45. pantu nepiemēro laikposmā no 2026. gada 1. janvāra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Laikposmā no 2026. gada 1. janvāra līdz 2029. gada 31. decembrim Tieslietu ministrija atbilstoši Ministru kabineta 2017. gada 19. decembra noteikumiem Nr. 769 "Tieslietu ministrijas pamatbudžeta programmas "Noziedzīgi iegūtu līdzekļu konfiskācijas fonds" finanšu līdzekļu izmantošanas kārtība" var pieņemt lēmumu pagarināt jau uzsākta pasākuma īstenošanas termiņu, kā arī sagatavo ziņojumu par līdzekļiem, kas piešķirti līdz 2026. gada 1. janvārim."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25-TA-2093</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25-TA-2093</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likumprojekts_(grozījumi)_25-TA-2093.docx</dc:title>
</cp:coreProperties>
</file>

<file path=docProps/custom.xml><?xml version="1.0" encoding="utf-8"?>
<Properties xmlns="http://schemas.openxmlformats.org/officeDocument/2006/custom-properties" xmlns:vt="http://schemas.openxmlformats.org/officeDocument/2006/docPropsVTypes"/>
</file>