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3.1.1.5.i investīcijas "Izglītības iestāžu infrastruktūras pilnveide un aprīkošana"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3.1.1. reformas "Administratīvi teritoriālā reforma" 3.1.1.5.i investīcijas "Izglītības iestāžu infrastruktūras pilnveide un aprīkošana" (turpmāk – investīcija) īstenošanas un uzraudzības kārtību, tostarp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investīcijai pieejamo Atveseļošanas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projekta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projektu iesniegumu priekšatlasei un projektu iesniegumu atlasei;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īstenošanā iesaistītās institūcijas un to pienākumus.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uzlabot vispārējās izglītības iestāžu mācību vidi, nodrošinot efektīvu resursu koncentrāciju un izmantošanu un stiprinot visaptveroša pašvaldību izglītības iestāžu tīkla sakārtošanas rezultātā izveidotās pamatskolas, tādējādi veicinot kvalitatīvas izglītības ieguvi ārpus novadu pašvaldību administratīvajiem centriem.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 reorganizētas pašvaldību dibinātas vispārējās izglītības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mērķi sasniedz, īstenojot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minētās atbalstāmās darbības un sasniedzot šādu mērķa rādītāju – līdz 2026. gada 31. maijam pilnveidota un aprīkota infrastruktūra 20 pašvaldību dibinātās vispārējās izglītības iestādēs.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investīcijas mērķa rādītāja sasniegšanu, līdz 2022. gada 30. jūnijam ir sasniedzams atskaites punkts – pašvaldību domju pieņemti lēmumi par vismaz 20 vispārējās vidējās izglītības iestāžu reorganizāciju.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Investīciju īsteno ar ierobežotu projektu iesniedzēju loku.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ietvaros nozares ministrijas funkcijas pilda Izglītības un zinātnes ministrija (turpmāk –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Investīcijas ietvaros vienošanās par projektu īstenošanu slēdz Centrālā finanšu un līgumu aģentūra (turpmāk –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Investīcijai pieejamais Atveseļošanas fonda finansējums ir 30 690 000 </w:t>
      </w:r>
      <w:r w:rsidR="00000000" w:rsidRPr="00000000" w:rsidDel="00000000">
        <w:rPr>
          <w:i w:val="1"/>
          <w:rtl w:val="0"/>
        </w:rPr>
        <w:t xml:space="preserve">euro</w:t>
      </w:r>
      <w:r w:rsidR="00000000" w:rsidRPr="00000000" w:rsidDel="00000000">
        <w:rPr>
          <w:rtl w:val="0"/>
        </w:rPr>
        <w:t xml:space="preserve">, un tas finansējuma saņēmējiem tiek piešķirts granta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projektu iesniegumu priekšatlasei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ir pašvaldība, kas līdz 2023. gada 30. jūnijam pieņem un saskaņošanai nozares ministrijā iesniedz pašvaldības domes pieņemtus lēmumus par vispārējās vidējās izglītības iestāžu tīkla sakārtošanu atbilstoši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minētajiem kritērijiem (turpmāk – priekšatlases kritēriji) un ir saņēmusi nozares ministrijas uzaicinājumu iesniegt projekta iesniegumu atlasei (turpmāk – projekta iesniedzējs). Projekta iesniedzējs pēc projekta iesnieguma apstiprināšanas kļūst par finansējuma saņēmēju un noslēdz ar aģentūru vienošanos par projekta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minētajiem pašvaldību domju pieņemtajiem un ar nozares ministriju saskaņotajiem lēmumiem par vispārējās vidējās izglītības iestāžu tīkla sakārtošanu nozares ministrija veic projektu iesniedzēju priekšatlasi, izvērtējot projekta iesniedzēja atbilstību šādiem priekšatlases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kādā no šādiem gadījumiem: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izglītības informācijas sistēmas datiem uz 2022. gada 1. septembri vispārējās vidējās izglītības iestādē 10.–12. klašu grupā ir vismaz 60 izglītojamie;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skaita attiecība vispārējās vidējās izglītības iestādē pret vienu skolotāju ir 11 vai lielāka;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sniedz pierādījumos balstītu apliecinājumu, ka vispārējās vidējās izglītības iestādes atbilstība šo noteikumu </w:t>
      </w:r>
      <w:r w:rsidR="00000000" w:rsidRPr="00000000" w:rsidDel="00000000">
        <w:rPr>
          <w:rtl w:val="0"/>
        </w:rPr>
        <w:t xml:space="preserve">11.1.1.</w:t>
      </w:r>
      <w:r w:rsidR="00000000" w:rsidRPr="00000000" w:rsidDel="00000000">
        <w:rPr>
          <w:rtl w:val="0"/>
        </w:rPr>
        <w:t xml:space="preserve"> un </w:t>
      </w:r>
      <w:r w:rsidR="00000000" w:rsidRPr="00000000" w:rsidDel="00000000">
        <w:rPr>
          <w:rtl w:val="0"/>
        </w:rPr>
        <w:t xml:space="preserve">11.1.2.</w:t>
      </w:r>
      <w:r w:rsidR="00000000" w:rsidRPr="00000000" w:rsidDel="00000000">
        <w:rPr>
          <w:rtl w:val="0"/>
        </w:rPr>
        <w:t xml:space="preserve"> apakšpunktā</w:t>
      </w:r>
      <w:r w:rsidR="00000000" w:rsidRPr="00000000" w:rsidDel="00000000">
        <w:rPr>
          <w:rtl w:val="0"/>
        </w:rPr>
        <w:t xml:space="preserve"> minētajiem nosacījumiem tiks nodrošināta līdz 2025. gada 1. septembrim, tostarp veicot citu izglītības iestāžu reorganizāciju;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atbilstoši šo noteikumu </w:t>
      </w:r>
      <w:r w:rsidR="00000000" w:rsidRPr="00000000" w:rsidDel="00000000">
        <w:rPr>
          <w:rtl w:val="0"/>
        </w:rPr>
        <w:t xml:space="preserve">11.1.</w:t>
      </w:r>
      <w:r w:rsidR="00000000" w:rsidRPr="00000000" w:rsidDel="00000000">
        <w:rPr>
          <w:rtl w:val="0"/>
        </w:rPr>
        <w:t xml:space="preserve"> apakšpunktā</w:t>
      </w:r>
      <w:r w:rsidR="00000000" w:rsidRPr="00000000" w:rsidDel="00000000">
        <w:rPr>
          <w:rtl w:val="0"/>
        </w:rPr>
        <w:t xml:space="preserve"> minētajiem lēmumiem investīcijai prioritāri izvirza par pamatskolu reorganizētu vispārējās izglītības iestādi, kas atbilst kādam no šādiem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atrodas līdz 2021. gada 1. jūlijam reorganizētas pašvaldības administratīvajā centrā;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Valsts izglītības informācijas sistēmas datiem uz 2022. gada 1. septembri tai ir lielākais izglītojamo skaits 1.–9. klašu grupā;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pēdējos piecos gados ir stabila pozitīva izglītojamo skaita dinamika 1.–6. klašu grupā.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minētajā priekšatlasē ņem vērā pašvaldību domju lēmumus, ja tie pieņemti, sākot ar 2020. gada 1. februāri.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Priekšatlases kritērijiem atbilstošu pašvaldību investīcijai izvirzītās izglītības iestādes tiek sakārtotas prioritārā secībā (dilstošā kārtībā) atbilstoši izglītības iestādes izglītojamo skaitam 1.–9. klašu grupā saskaņā ar Valsts izglītības informācijas sistēmas datiem uz 2022. gada 1. septembri (ne vairāk kā viena izglītības iestāde katrā pašvaldībā un ne vairāk kā četras izglītības iestādes katrā plānošanas reģionā).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kādā no plānošanas reģioniem investīcijai izvirzīto izglītības iestāžu skaits ir mazāks par četrām, tad atbrīvotā plānošanas reģiona kvota prioritāri tiek piešķirta pārējo plānošanas reģionu pašvaldībām, kas atbilstoši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minētajai kārtībai ir ārpus attiecīgā plānošanas reģiona kvotas (ja attiecināms). Ja ir vairākas šādas pašvaldības, prioritāri tiek ņemta vērā tā, kuras izvirzītās izglītības iestādes izglītojamo skaits 1.–9. klašu grupā ir lielāks saskaņā ar Valsts izglītības informācijas sistēmas datiem uz 2022. gada 1. septembri.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atbilstoši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minētajiem kritērijiem un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minētajai kārtībai atbilstošu pašvaldību skaits kopumā ir mazāks par 20, tad tās var izvirzīt citu atbilstoši šiem noteikumiem reorganizētu vispārējās izglītības iestādi. Šādas papildus izvirzītas vispārējās izglītības iestādes tiek sakārtotas prioritārā secībā (dilstošā kārtībā) atbilstoši izglītības iestādes izglītojamo skaitam 1.–9. klašu grupā saskaņā ar Valsts izglītības informācijas sistēmas datiem uz 2022. gada 1. septembri.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Nozares ministrija divu mēnešu laikā pēc pašvaldību izvērtēšanas atbilstoši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minētajiem priekšatlases kritērijiem iesniedz Ministru kabinetā informāciju lēmuma pieņemšanai par priekšatlasē atlasītajām pašvaldībām, katrai pašvaldībai plānoto maksimālo Atveseļošanas fonda finansējumu un ne vairāk kā 20 investīcijai izvirzītajām izglītības iestādēm, kas sarindotas atbilstoši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un, ja attiecināms, šo noteikumu </w:t>
      </w:r>
      <w:r w:rsidR="00000000" w:rsidRPr="00000000" w:rsidDel="00000000">
        <w:rPr>
          <w:rtl w:val="0"/>
        </w:rPr>
        <w:t xml:space="preserve">14.</w:t>
      </w:r>
      <w:r w:rsidR="00000000" w:rsidRPr="00000000" w:rsidDel="00000000">
        <w:rPr>
          <w:rtl w:val="0"/>
        </w:rPr>
        <w:t xml:space="preserve"> vai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minētajai kārtībai.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Katram projekta iesniedzējam maksimāli plānotais Atveseļošanas fonda finansējums tiek rēķināts proporcionāli investīcijai izvirzītās izglītības iestādes izglītojamo skaitam 1.–9. klašu grupā saskaņā ar Valsts izglītības informācijas sistēmas datiem uz 2022. gada 1. septembri. Ja pašvaldība ir pieņēmusi lēmumus par visu ārpus pašvaldības administratīvā centra esošu vispārējās izglītības iestāžu reorganizāciju, tad, aprēķinot projekta iesniedzējam pieejamo finansējumu, investīcijai izvirzītās vispārējās izglītības iestādes izglītojamo skaitam 1.–9. klašu grupā piemēro koeficientu 1,1. Atveseļošanas fonda finansējums vienai izglītības iestādei nepārsniedz 1 800 000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Mēneša laikā pēc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 Ministru kabineta lēmuma pieņemšanas nozares ministrija nosūta uzaicinājumu Ministru kabineta lēmumā minētajām pašvaldībām sagatavot un iesniegt projekta iesniegumu Kohēzijas politikas fondu vadības informācijas sistēmā (turpmāk – vadības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Administratīvo teritoriju un apdzīvoto vietu likuma pārejas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minētās novadu pašvaldības Atveseļošanas fonda projekta īstenošanā sadarbojas ar to teritorijai blakus esošo valstspilsētu pašvaldībām, noslēdzot sadarbības līgumu par projekta īstenošanu (turpmāk – sadarbības projekts). Valstspilsētas pašvaldības dome pieņem lēmumu par dalību sadarbības projektā.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Atbalstam izvirzītā izglītības iestāde darbību kā pamatskola uzsāk ne vēlāk kā 2025. gada 1. septembrī.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ergonomiskas mācību vides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procesa nodrošināšanai paredzēta aprīkojuma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risinājumu ieviešana;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informācijas un publicitātes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minēto atbalstāmo darbību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iestādes ēkas pilna apjoma pārbūves vai ēkas piebūves būvniecības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iestādes ēkas un telpu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telpu (klašu, kabinetu, auditoriju, laboratoriju) pārbūves un atjaunošanas izmaksas. Ja projektā paredzēta mācību vides uzlabošana visās projektā atbalstāmās vispārējās izglītības iestādes klašu telpās, tad var tikt paredzētas arī aktu zāles, sporta zāles, bibliotēkas vai lasītavas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gaiteņu un sanitāro mezglu pārbūves un atjaunošanas izmaksas, ja tiek īstenoti šo noteikumu </w:t>
      </w:r>
      <w:r w:rsidR="00000000" w:rsidRPr="00000000" w:rsidDel="00000000">
        <w:rPr>
          <w:rtl w:val="0"/>
        </w:rPr>
        <w:t xml:space="preserve">22.2.1.</w:t>
      </w:r>
      <w:r w:rsidR="00000000" w:rsidRPr="00000000" w:rsidDel="00000000">
        <w:rPr>
          <w:rtl w:val="0"/>
        </w:rPr>
        <w:t xml:space="preserve"> apakšpunktā</w:t>
      </w:r>
      <w:r w:rsidR="00000000" w:rsidRPr="00000000" w:rsidDel="00000000">
        <w:rPr>
          <w:rtl w:val="0"/>
        </w:rPr>
        <w:t xml:space="preserve"> minētie darbi;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iekšējo inženiertīklu (iekšējo elektrotīklu, apkures sistēmu, vēdināšanas un gaisa kondicionēšanas sistēmu, ūdensvada tīklu, kanalizācijas tīklu, automātisko ugunsgrēka atklāšanas, trauksmes signalizācijas un automātiskās balss ugunsgrēka izziņošanas sistēmu) izbūves un pārbūves izmaksas. Minētās izmaksas plāno kā papildinošas šo noteikumu </w:t>
      </w:r>
      <w:r w:rsidR="00000000" w:rsidRPr="00000000" w:rsidDel="00000000">
        <w:rPr>
          <w:rtl w:val="0"/>
        </w:rPr>
        <w:t xml:space="preserve">22.2.1.</w:t>
      </w:r>
      <w:r w:rsidR="00000000" w:rsidRPr="00000000" w:rsidDel="00000000">
        <w:rPr>
          <w:rtl w:val="0"/>
        </w:rPr>
        <w:t xml:space="preserve"> un </w:t>
      </w:r>
      <w:r w:rsidR="00000000" w:rsidRPr="00000000" w:rsidDel="00000000">
        <w:rPr>
          <w:rtl w:val="0"/>
        </w:rPr>
        <w:t xml:space="preserve">22.2.2.</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ergonomiskas mācību vides izveides izmaksas, tai skaitā mācību telpas aprīkojuma un mēbeļu iegādes, apgaismojuma modernizēšanas un trokšņu slāpētāju izveides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būvprojekta (tai skaitā būvprojekta minimālās stadijas) izstrādes vai aktualizēšanas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neatkarīgu būvekspertīžu veikšanas un tehniskās apsekošanas izmaksas, tai skaitā neatkarīgas būvprojekta ekspertīzes veikšanas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ēkas nodošanu ekspluatācijā, ja tās nav paredzētas līgumā par būvdarbu veikšanu;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inovatīvu informācijas un komunikācijas tehnoloģiju risinājumu ieviešanas izmaksas, tai skaitā bezvadu interneta un interneta pieslēguma izveides izmaksas, mācību procesa nodrošināšanai nepieciešamā aprīkojuma un programmatūras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dabaszinātņu (ķīmijas, bioloģijas, fizikas) mācību priekšmetu tehnisko ierīču un aprīkojuma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informācijas un publicitātes pasākumu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izmaksas, kuras finansējuma saņēmējs norāda projekta iesniegumā un veic projekta ietvaros, nav attiecināmas finansēšanai no Atveseļošanas fonda finansējuma. Finansējuma saņēmējs pievienotās vērtības nodokļa izmaksas sedz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Projektā pašvaldība līdz 40 procentiem no tai plānotā finansējuma var paredzēt mācību vides uzlabošanai, tai skaitā vispārējās izglītības iestādes ēkas kapacitātes palielināšanai, citā (tai skaitā novada pašvaldības administratīvajā centrā vai valstspilsētas pašvaldībā esošā) vispārējās vidējās izglītības iestādē (ja vispārējās izglītības iestāžu tīkla sakārtošanas rezultātā tajā paredzams izglītojamo skaita pieaugums) vai par pamatskolu reorganizētā vispārējās izglītības iestādē ārpus novada pašvaldības administratīvā centra (ar stabilu pozitīvu izglītojamo skaita dinamiku 1.–6. klašu grupā pēdējos piecos gados).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izmaksas ir attiecināmas, sākot ar 2020. gada 1. februāri, atbilstoši Eiropas Parlamenta un Padomes 2021. gada 12. februāra Regulas  </w:t>
      </w:r>
      <w:r w:rsidR="00000000" w:rsidRPr="00000000" w:rsidDel="00000000">
        <w:rPr>
          <w:rtl w:val="0"/>
        </w:rPr>
        <w:t xml:space="preserve">2021/241</w:t>
      </w:r>
      <w:r w:rsidR="00000000" w:rsidRPr="00000000" w:rsidDel="00000000">
        <w:rPr>
          <w:rtl w:val="0"/>
        </w:rPr>
        <w:t xml:space="preserve">, ar ko izveido Atveseļošanas un noturības mehānismu (turpmāk – regula  </w:t>
      </w:r>
      <w:r w:rsidR="00000000" w:rsidRPr="00000000" w:rsidDel="00000000">
        <w:rPr>
          <w:rtl w:val="0"/>
        </w:rPr>
        <w:t xml:space="preserve">2021/241</w:t>
      </w:r>
      <w:r w:rsidR="00000000" w:rsidRPr="00000000" w:rsidDel="00000000">
        <w:rPr>
          <w:rtl w:val="0"/>
        </w:rPr>
        <w:t xml:space="preserve">), 17. panta 2. punktam. Projektā nedrīkst būt iekļautas darbības, kas ir pabeigtas uz 2021. gada 13. jūliju – dienu, kad Atveseļošanas fonds apstiprināts Eiropas Komisijā un Eiropas Padomē.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Projektu iesniegumu atlase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Nozares ministrija saņemtos projektu iesniegumus vērtē atbilstoši šādiem iesniegumu vērtēšanas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iesniegšanas un atbalsta piešķiršanas brīdī uz projekta iesniedzēju nav attiecināms kāds no izslēgšanas kritērijiem, kas noteikti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136. panta 1. 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iesniegumā plānotās darbības atbilst projekta iesniedzēja un sadarbības partnera (ja attiecināms) pašvaldības attīstības programmas investīciju plānam;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mērķis atbilst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minētajam mērķim un projekta rezultāti ir precīzi definēti, pamatoti un izmērāmi un sekmē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mērķa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iesniegumā plānotās darbības un izmaksas atbilst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minētajām prasībām, un:</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ir saistītas ar projekta īstenošanu;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ir nepieciešamas projekta īstenošanai (projektā norādīto darbību īstenošanai, mērķa grupas vajadzību nodrošināšanai, definētās problēmas risināšanai);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ir vērstas uz regulas  </w:t>
      </w:r>
      <w:r w:rsidR="00000000" w:rsidRPr="00000000" w:rsidDel="00000000">
        <w:rPr>
          <w:rtl w:val="0"/>
        </w:rPr>
        <w:t xml:space="preserve">2021/241</w:t>
      </w:r>
      <w:r w:rsidR="00000000" w:rsidRPr="00000000" w:rsidDel="00000000">
        <w:rPr>
          <w:rtl w:val="0"/>
        </w:rPr>
        <w:t xml:space="preserve"> 5. panta 2. punktā un 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ko groza Regulu (ES)  </w:t>
      </w:r>
      <w:r w:rsidR="00000000" w:rsidRPr="00000000" w:rsidDel="00000000">
        <w:rPr>
          <w:rtl w:val="0"/>
        </w:rPr>
        <w:t xml:space="preserve">2019/2088</w:t>
      </w:r>
      <w:r w:rsidR="00000000" w:rsidRPr="00000000" w:rsidDel="00000000">
        <w:rPr>
          <w:rtl w:val="0"/>
        </w:rPr>
        <w:t xml:space="preserve">, 17. pantā minētā principa "nenodari būtisku kaitējumu" vides mērķu sasniegšanu;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iesniegumu ir parakstījusi paraksttiesīga persona.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Nozares ministrija pieņem lēmumu par projekta iesnieguma apstiprināšanu, ja projekta iesniegums atbilst visiem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minētajiem projektu iesniegumu vērtēšanas kritērijiem, un informē projekta iesnieguma iesniedzēju un aģentūru par vienošanās par projekta īstenošanu slēgšanu.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projekta iesniegums neatbilst kādam no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minētajiem projektu iesniegumu vērtēšanas kritērijiem, nozares ministrija pieņem lēmumu uzdot projekta iesniedzējam veikt atbilstošus precizējumus vai papildinājumus. Projekta iesniedzējs projekta iesnieguma precizējumus vai papildinājumus iesniedz ne vairāk kā divas reizes.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projekta iesniedzējs neveic projekta precizējumus vai papildinājumus atbilstoši 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minētajai kārtībai, nozares ministrija pieņem lēmumu noraidīt projekta iesniegumu. Nozares ministrija var uzaicināt projekta iesniedzēju atkārtoti iesniegt projekta iesniegumu.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Investīcijas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minētajam lēmumam finansējuma saņēmējs un aģentūra noslēdz vienošanos par projekta īstenošanu. Tajā nosaka: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finansēšanas plāna iesniegšanas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grafika iesniegšanas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avansa, starpposma un noslēguma maksājuma pieprasījumu iesniegšanas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kopumu, kas apliecina uz finansējuma saņēmēju attiecināmās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mērķa rādītāja daļas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apjomu un regularitāti, kādā informācija ievadāma vadības informācijas sistēmā (tai skaitā apjomu un regularitāti, kādā augšupielādējami nepieciešamie dokumenti, kas pamato noteikto atskaites punktu un mērķu sasniegšanu), kā arī atbildības sadalījumu starp aģentūru un finansējuma saņēmēju attiecībā uz informācijas ievadīšanu vadības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Grozījumus projektā izdara saskaņā ar vienošanos, kas noslēgta starp aģentūru un finansējuma saņēmēju.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Aģentūrai ir tiesības vienpusēji atkāpties no noslēgtās vienošanās par projekta īstenošanu jebkurā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projekta gadījumā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minētie partneri noslēdz sadarbības līgumu, kurā iekļauj vismaz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mērķi un principi;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pienākumi un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un rezultātu sasniegšanas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finansējums un tā plānošana, katra sadarbības partnera projekta daļas finansējums un katra sadarbības partnera ieguldījums sadalījumā pa ieguldījumu veidiem;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finanšu plūsmas nodrošināšanas kārtība, tai skaitā izmaksātā avansa dzēšanas un atgūšanas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rezultātu izmantošanas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sankcijas, ko piemēro, ja netiek izpildītas sadarbības līgumā minētās saistības;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sadarbības līguma darbības laiks, tā grozīšanas un izbeigšanas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īpašumu vai pamatlīdzekļu juridisko piederību un projekta īstenošanas rezultātā radīto vai iegādāto vērtību piederību, kā arī to uzturēšanas un izmantošanas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 sadarbības partnera pienākumu izpildi sadarbības projekta īstenošanā un sadarbības partnera īstenotajām funkcijām projektā ir atbildīgs finansējuma saņēmējs.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Aģentūra projekta īstenošanas laikā un projekta dzīves cikla laikā (10 gadi) atbilstoši nozares ministrijas izstrādātajai papildinošas saimnieciskās darbības uzraudzības metodikai nodrošina papildinošas saimnieciskās darbības uzraudzību projekta uzlabotajai infrastruktūrai.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Lai atbalsts projekta īstenošanai netiktu kvalificēts kā komercdarbības atbalsts, projekta īstenošanas rezultātā attīstītajā infrastruktūrā projekta dzīves cikla laikā ir pieļaujams veikt papildinošu saimniecisko darbību 20 procentu apmērā no infrastruktūras gada jaudas platības, laika vai finanšu izteiksmē un ir pieļaujams sniegt papildpakalpojumus. Ar papildinošu saimniecisko darbību saprot darbības, kas ir tieši saistītas ar infrastruktūras ekspluatāciju un ir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aģentūra konstatē, ka ir pārkāptas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minētās komercdarbības atbalsta kontroles normas, finansējuma saņēmējam ir pienākums atmaksāt aģentūrai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tos nav plānots finansēt vai līdzfinansēt no citiem valsts un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korupcijas, krāpšanas un interešu konflikta riska neiestāšanos, kā arī dubultfinansējuma riska neiestāšanos un demarkāciju, ja projektā plānotajām darbībām ir sinerģija ar citu atbalsta instrumentu investīcijām;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sadārdzinājumu no saviem līdzekļiem, ja projekta izmaksas pieaug;</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ar projekta īstenošanu saistītās dokumentācijas glabāšanu ne mazāk kā piecus gadus pēc pēdējā maksājuma veikšanas dalībvalstij;</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ieguldījumi tiek veikti infrastruktūrā, kas ir finansējuma saņēmēja, sadarbības partnera vai valsts īpašumā, kas nodots finansējuma saņēmēja, sadarbības partnera vai attiecīgās izglītības iestādes valdījumā vai lietošanā uz termiņu, kas nav mazāks par pieciem gadiem pēc projekta īstenošanas pabeigšanas. Valdījuma vai lietošanas tiesības ir reģistrētas zemesgrāmatā;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kopīgo rādītāju "Jaunu vai modernizētu bērnu aprūpes un izglītības iestāžu klašu telpu ietilpība";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projekta īstenošanai nepieciešamie būvdarbi, preces un pakalpojumi tiek iegādāti atklātā, pārredzamā, nediskriminējošā un konkurenci nodrošinošā procedūrā saskaņā ar normatīvajiem aktiem iepirkuma procedūras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informācijas un publicitātes pasākumus saskaņā ar regulas  </w:t>
      </w:r>
      <w:r w:rsidR="00000000" w:rsidRPr="00000000" w:rsidDel="00000000">
        <w:rPr>
          <w:rtl w:val="0"/>
        </w:rPr>
        <w:t xml:space="preserve">2021/241</w:t>
      </w:r>
      <w:r w:rsidR="00000000" w:rsidRPr="00000000" w:rsidDel="00000000">
        <w:rPr>
          <w:rtl w:val="0"/>
        </w:rPr>
        <w:t xml:space="preserve"> 34. pantu un Eiropas Komisijas un Latvijas Republikas Atveseļošanas un noturības mehānisma finansēšanas nolīguma 10. pantu;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sniedz aģentūrai, nozares ministrijai un citām Atveseļošanas fonda uzraudzībā iesaistītajām institūcijām, tostarp arī institūcijām, kas minētas Eiropas Komisijas un Latvijas Republikas Atveseļošanas un noturības mehānisma finansēšanas nolīgumā, visu nepieciešamo informāciju saistībā ar projekta ieviešanu un investīcijas mērķa sasniegšanu, nodrošinot datu un informācijas pieejamību.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saskaņā ar normatīvajiem aktiem par Eiropas Savienības Atveseļošanas un noturības mehānisma plāna īstenošanas un uzraudzības kārtību uzkrāj maksājumu pieprasījumu, izdevumus un sasniegto rādītāju pamatojošo dokumentu datus un līdz kārtējā gada 10. janvārim un 10. jūlijam ievada tos vadības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un ne ilgāk kā līdz 2026. gada 31. maijam, ievērojot, ka aģentūra projekta noslēguma dokumentācijas pārbaudi un noslēguma maksājumu veic līdz 2026. gada 31. augustam.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Pēc vienošanās par projekta īstenošanu noslēgšanas aģentūra, pamatojoties uz finansējuma saņēmēja avansa pieprasījumu, nodrošina finansējuma saņēmējam avansa maksājumus, ievērojot, ka viens avansa maksājums nepārsniedz 30 procentus un avansa un starpposmu maksājumu kopsumma nepārsniedz 90 procentus no kopējā projektam piešķirtā Atveseļošanas fonda finansējuma. Maksājuma pieprasījumu piešķirtā avansa maksājuma apmērā finansējuma saņēmējs iesniedz aģentūrai saimnieciskā gada ietvaros, bet ne ilgāk kā sešu mēnešu laikā pēc avansa maksājuma saņemšanas.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būvdarbu veicējam vai piegādātājam var paredzēt avansa maksājumu līdz 30 procentiem no būvdarbu vai piegāžu līgumcenas. Finansējuma saņēmējs var veikt avansa maksājumu, ja būvdarbu veicējs vai piegādātājs tam iesniedz Eiropas Savienībā reģistrētas kredītiestādes vai apdrošināšanas sabiedrības izsniegtu pirmā pieprasījuma avansa atmaksāšanas garantiju, kas ir vienāda ar avansa summu un ir spēkā līdz pilnīgai avansa summas atmaksai.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Aģentūra papildus normatīvajos aktos par Eiropas Savienības Atveseļošanas un noturības mehānisma plāna īstenošanas un uzraudzības kārtību noteiktajām funkcijām veic šādus pienākumus: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pārbaudes projekta īstenošanas vietā;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projekta izmaksu pamatotību;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projekta ieviešanas progresa pārbaudes.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Nozares ministrija papildus normatīvajos aktos par Eiropas Savienības Atveseļošanas un noturības mehānisma plāna īstenošanas un uzraudzības kārtību noteiktajām funkcijām pārbauda dokumentāciju, kas pamato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atskaites punkta sasniegšanu.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23-TA-469</w:t>
    </w:r>
    <w:r>
      <w:br/>
    </w:r>
    <w:r w:rsidR="00000000" w:rsidRPr="00000000" w:rsidDel="00000000">
      <w:rPr>
        <w:rtl w:val="0"/>
      </w:rPr>
      <w:t xml:space="preserve">Izdrukāts 29.07.2026. 21.08 - 1.0.VK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23-TA-469</w:t>
    </w:r>
    <w:r>
      <w:br/>
    </w:r>
    <w:r w:rsidR="00000000" w:rsidRPr="00000000" w:rsidDel="00000000">
      <w:rPr>
        <w:rtl w:val="0"/>
      </w:rPr>
      <w:t xml:space="preserve">Izdrukāts 29.07.2026. 21.08 - 1.0.VK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noteikumu_konsolidētā_versija_23-TA-469.docx</dc:title>
</cp:coreProperties>
</file>

<file path=docProps/custom.xml><?xml version="1.0" encoding="utf-8"?>
<Properties xmlns="http://schemas.openxmlformats.org/officeDocument/2006/custom-properties" xmlns:vt="http://schemas.openxmlformats.org/officeDocument/2006/docPropsVTypes"/>
</file>