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(turpmāk – pasākums) pirmo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finansējums ir 677 970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271 188 </w:t>
      </w:r>
      <w:r w:rsidR="00000000" w:rsidRPr="00000000" w:rsidDel="00000000">
        <w:rPr>
          <w:i w:val="1"/>
          <w:rtl w:val="0"/>
        </w:rPr>
        <w:t xml:space="preserve">euro </w:t>
      </w:r>
      <w:r w:rsidR="00000000" w:rsidRPr="00000000" w:rsidDel="00000000">
        <w:rPr>
          <w:rtl w:val="0"/>
        </w:rPr>
        <w:t xml:space="preserve">un privātais finansējums – 406 782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turpināt un pabeigt energoefektivitātes paaugstināšanas pasākumus centralizētajā, lokālajā un individuālajā siltumapgādē, kas uzsākti Eiropas Savienības struktūrfondu un Kohēzijas fonda 2014.–2020. gada plānošanas perioda darbības programmas "Izaugsme un nodarbinātība" 4.3.1. specifiskā atbalsta mērķa "Veicināt energoefektivitāti un vietējo AER izmantošanu centralizētajā siltumapgādē"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siltumenerģijas lietotāji.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atjaunojamos energoresursus izmantojošu siltumražošanas jaudu modernizācija un pieaugums centralizētajā siltumapgādē – 10 MW;</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aprēķinātais siltumnīcefekta gāzu samazinājums gadā – 8048,16 CO</w:t>
      </w:r>
      <w:r w:rsidR="00000000" w:rsidRPr="00000000" w:rsidDel="00000000">
        <w:rPr>
          <w:vertAlign w:val="subscript"/>
          <w:rtl w:val="0"/>
        </w:rPr>
        <w:t xml:space="preserve">2</w:t>
      </w:r>
      <w:r w:rsidR="00000000" w:rsidRPr="00000000" w:rsidDel="00000000">
        <w:rPr>
          <w:rtl w:val="0"/>
        </w:rPr>
        <w:t xml:space="preserve"> ekvivalenta tonnas gadā.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 pasākuma ietvaros ir akciju sabiedrība "Olaines ūdens un siltums".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iesniedzējam piemērojamas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118. pantā noteiktās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projektu iesniegumu atlases nolikuma prasībām sagatavo iesniegumu un iesniedz to Centrālajā finanšu un līgumu aģentūrā (turpmāk – sadarbības iestāde),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iesniedzējam ir īpašuma vai valdījuma tiesības vai apbūves tiesība uz nekustamo īpašumu, tai skaitā zemi un infrastruktūru, kurā tiks veiktas projektā paredzētās darbības, uz termiņu, kas nav mazāks par pieciem gadiem pēc noslēguma maksājuma veikšanas. Siltumenerģijas pārvades un sadales sistēma (infrastruktūra), kurā paredzēts veikt ieguldījumus projekta ietvaros, ir projekta iesniedzēja īpašumā, valdījumā vai turējumā uz laiku, kas nav mazāks par pieciem gadiem pēc noslēguma maksājuma veikšanas. Zeme, uz kuras atrodas siltumenerģijas pārvades un sadales sistēma, var nebūt projekta iesniedzēja īpašumā, valdījumā vai turējumā.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centralizētās siltumapgādes ražošanas avota būvniecība, ja tiek aizstāts esošs centralizētās siltumapgādes ražošanas avots, un rekonstrukcija, ja pēc investīciju ieguldīšanas siltumenerģijas ražošanai tiek izmantoti atjaunojamie energoresursi. Centralizētās siltumapgādes ražošanas avots ir tehnoloģisko iekārtu un būvju kopums siltumenerģijas ražošanai;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koģenerācijas stacijas pārbūve par centralizētās siltumapgādes ražošanas avotu – katlumāju, kas tiek darbināta ar atjaunojamiem energoresursiem, ja komersants atbilst vienam no šādiem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ir licencēts siltumenerģijas pārvades vai sadales operators;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ir reģistrēts siltumenerģijas ražotāju reģistrā un saražoto siltumenerģiju (izņemot pašpatēriņu un tehnoloģisko procesu nodrošināšanai nepieciešamo siltumenerģiju) nodod Sabiedrisko pakalpojumu regulēšanas komisijas licencētam siltumapgādes pārvades vai sadales komersantam vai pašvaldībai, vai pašvaldības iestādei, kas sniedz centralizētās siltumapgādes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siltumenerģijas akumulācijas iekārtas uzstādīšana un būvniecība;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būvuzraudzības un autoruzraudzības izmaksas, kopā nepārsniedzot 10 %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izmaksas, kas radušās uz darba līguma, uzņēmuma vai pakalpojuma līguma pamata: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daļai – līdz 34 422 </w:t>
      </w:r>
      <w:r w:rsidR="00000000" w:rsidRPr="00000000" w:rsidDel="00000000">
        <w:rPr>
          <w:i w:val="1"/>
          <w:rtl w:val="0"/>
        </w:rPr>
        <w:t xml:space="preserve">euro </w:t>
      </w:r>
      <w:r w:rsidR="00000000" w:rsidRPr="00000000" w:rsidDel="00000000">
        <w:rPr>
          <w:rtl w:val="0"/>
        </w:rPr>
        <w:t xml:space="preserve">gadā, pieskaitot 0,64 % no projekta tiešajām attiecināmajām izmaksām (neieskaitot tiešās projekta vadības personāla izmaksas) un summu reizinot ar projekta plānoto īstenošanas ilgumu gados,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Reģionālās attīstības fonda daļai – līdz 84 787 </w:t>
      </w:r>
      <w:r w:rsidR="00000000" w:rsidRPr="00000000" w:rsidDel="00000000">
        <w:rPr>
          <w:i w:val="1"/>
          <w:rtl w:val="0"/>
        </w:rPr>
        <w:t xml:space="preserve">euro </w:t>
      </w:r>
      <w:r w:rsidR="00000000" w:rsidRPr="00000000" w:rsidDel="00000000">
        <w:rPr>
          <w:rtl w:val="0"/>
        </w:rPr>
        <w:t xml:space="preserve">gadā, ja projekta tiešās attiecināmās izmaksas pārsniedz 5 000 000 </w:t>
      </w:r>
      <w:r w:rsidR="00000000" w:rsidRPr="00000000" w:rsidDel="00000000">
        <w:rPr>
          <w:i w:val="1"/>
          <w:rtl w:val="0"/>
        </w:rPr>
        <w:t xml:space="preserve">euro</w:t>
      </w:r>
      <w:r w:rsidR="00000000" w:rsidRPr="00000000" w:rsidDel="00000000">
        <w:rPr>
          <w:rtl w:val="0"/>
        </w:rPr>
        <w:t xml:space="preserve">.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tehnoloģisko pamatiekārtu, palīgiekārtu un materiālu iegādes un uzstādīšanas izmaksas, kas tieši nodrošina centralizētās siltumapgādes ražošanas avota un pārvades un sadales sistēmas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centralizētās siltumapgādes ražošanas avota un pārvades un sadales sistēmas rekonstrukcijas un būvniecības izmaksas, siltumenerģijas akumulācijas iekārtas uzstādīšanas un būvniecības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iesniedzēja īpašumā, nomā vai koncesijā esošo tehnoloģisko iekārtu demontāžas izmaksas, ēku un būvju nojaukšanas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būvlaukuma teritorijas sakārtošanas izmaksas pēc būvdarbu pabeigšanas, ja tas ir tieši nepieciešams centralizētās siltumapgādes ražošanas avota, siltumenerģijas akumulācijas iekārtas un pārvades un sadales sistēmas rekonstrukcijai, būvniecībai un objektu nodošanai ekspluatācijā;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īstenošanu saistīto komunikācijas un vizuālās identitātes prasību nodrošināšanas pasākumu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Attiecināmajās izmaksās iekļauj tikai tos ieguldījumus, par kuriem projekta starpposma vai noslēguma pārskata iesniegšanas dienā ir pilnībā samaksāts un kuri atrodas finansējuma saņēmēja bilancē.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izmaksu pozīcijām ir attiecināmas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iesniegumā neiekļauj un finansējumu nepiešķir pabeigtām darbībām un izmaksām, kas ir iekļautas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īstenotajā projektā.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finansējuma saņēmējs projektu īsteno atbilstoši līgumam, kas noslēgts ar sadarbības iestādi, bet ne ilgāk kā līdz 2028.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ievēro principu "Klimatdrošināšana", kā arī principu "Nenodarīt būtisku kaitējumu", kas atbilst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2019/2088, 18. pantam un normatīvajiem aktiem vides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paraksta apliecinājumu par interešu konflikta neesību, kā arī projekta īstenošanas laikā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ievērošanu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 nodrošina atsevišķu grāmatvedības uzskaiti par finansējuma izlietojumu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uzkrāj datus par projektā plānotajiem un sasniegtajiem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piecus gadus pēc noslēguma maksājuma veikšanas katru gadu līdz 31. janvārim iesniedz sadarbības iestādē pārskatu par sasniegtajiem rādītājiem atbilstoši sadarbības iestādes noteiktajai formai.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projekta ietvaros plānotais atbalsts nepārklājas ar citos projektos piešķirto valsts un ārvalstu finanšu atbalsta instrumentu atbalstu un nodrošina dubultā finansējuma neiestāšanos.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nodrošina, ka projekta īstenošanas ietvaros nepieciešamās iepirkumu procedūras tiek veiktas saskaņā ar normatīvo aktu prasībām iepirkumu procedūras jomā, īstenojot atklātu, pārredzamu, nediskriminējošu un konkurenci nodrošinošu konkursa procedūru. Atbalstāma ir arī vides prasību integrācija preču, pakalpojumu un būvdarbu iepirkumos – zaļais publiskais iepirkums.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Vismaz piecus gadus pēc noslēguma maksājuma veikšanas 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veiktās investīcijas un radītie pamatlīdzekļi tiek izmantoti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veikto investīciju ilgtspēja un uzturēšana darba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ka tiek uzkrāta informācija par darba vietām, kas veicina vides kvalitātes saglabāšanu vai atjaunošanu (zaļajām darba vietām), un par preču, pakalpojumu un būvdarbu iepirkumiem, kuros integrētas vides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glabā projekta dokumentāciju un nodrošina tās pieejamību visā projekta dzīves ciklā.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Par atbalsta piešķiršanas brīdi ir uzskatāms brīdis, kad pieņemts sadarbības iestādes sākotnējais lēmums par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īstenotā projekta apstiprināšanu.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24-TA-41</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24-TA-41</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noteikumu_projekts_24-TA-41.docx</dc:title>
</cp:coreProperties>
</file>

<file path=docProps/custom.xml><?xml version="1.0" encoding="utf-8"?>
<Properties xmlns="http://schemas.openxmlformats.org/officeDocument/2006/custom-properties" xmlns:vt="http://schemas.openxmlformats.org/officeDocument/2006/docPropsVTypes"/>
</file>