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par atbildīgo institūciju darbības 2022. gada 9. un 10. maijā izvērtējumu un rīcības plānu sabiedriskās kārtības nodrošināšanai turpmāk."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22-TA-1599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