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Rīgas līča reņģu nozvejas apjoma limita procentuālais sadalījums pa piekrastes ģeogrāfiskajiem rajoniem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19.12.2023. noteikumu Nr. 774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2814"/>
        <w:gridCol w:w="3485"/>
        <w:tblGridChange w:id="0">
          <w:tblGrid>
            <w:gridCol w:w="610"/>
            <w:gridCol w:w="2431"/>
            <w:gridCol w:w="281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piekrastes dalījums ģeogrāfiskos rajonos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reņģu nozvejas apjoma limits (%)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 piekrastes ģeogrāfiskiem rajoniem pēc šo noteikumu </w:t>
            </w:r>
            <w:r w:rsidR="00000000" w:rsidRPr="00000000" w:rsidDel="00000000">
              <w:rPr>
                <w:rtl w:val="0"/>
              </w:rPr>
              <w:t xml:space="preserve">2.2.</w:t>
            </w:r>
            <w:r w:rsidR="00000000" w:rsidRPr="00000000" w:rsidDel="00000000">
              <w:rPr>
                <w:rtl w:val="0"/>
              </w:rPr>
              <w:t xml:space="preserve"> apakšpunktā</w:t>
            </w:r>
            <w:r w:rsidR="00000000" w:rsidRPr="00000000" w:rsidDel="00000000">
              <w:rPr>
                <w:rtl w:val="0"/>
              </w:rPr>
              <w:t xml:space="preserve"> minētā limita nodalīšanas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rajons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noteikumu_konsolidētā_versija_p3_25-TA-2327.docx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