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plānu "Prioritārie rīcības virzieni meliorācijas politikā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"Prioritārie rīcības virzieni meliorācijas politikā 2021.–2027.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Zemkopības ministriju par atbildīgo institūciju plāna ieviešanas koordinēšanā.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un plāna ieviešanā iesaistītajām institūcijām plānā noteikto pasākumu īstenošanu nodrošināt no tām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papildu valsts budžeta līdzekļu piešķiršanu (ja tādi būs nepieciešami) plānā iekļauto pasākumu īstenošanai plāna ieviešanā iesaistītajām atbildīgajām institūcijām vērtēt plāna īstenošanas gaitā un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ministrijai sagatavot un zemkopības ministram līdz 2023. gada 31. decembrim iesniegt noteiktā kārtībā Ministru kabinetā grozījumus plānā, precizējot sadaļu par rezultatīvajiem rādītājiem atbilstoši finanšu plānošanas procesā paredzētajiem finanšu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ministrijai sadarbībā ar iesaistītajām institūcijām sagatavot un līdz 2025. gada 31. decembrim iesniegt Ministru kabinetā informatīvo ziņojumu par plāna ieviešanu 2020.–2025.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plāna konsolidēto redakciju.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24-TA-1190</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24-TA-1190</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rīkojuma_konsolidētā_versija_24-TA-1190.docx</dc:title>
</cp:coreProperties>
</file>

<file path=docProps/custom.xml><?xml version="1.0" encoding="utf-8"?>
<Properties xmlns="http://schemas.openxmlformats.org/officeDocument/2006/custom-properties" xmlns:vt="http://schemas.openxmlformats.org/officeDocument/2006/docPropsVTypes"/>
</file>