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Zaļā publiskā iepirkuma (ZPI) prasības un kritēriji, kurus var izmantot būvdarbu, citu prioritāru preču un pakalpojumu grupu publiskajā iepirkumā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Būvdarbi un preču un pakalpojumu grupas, kurām noteiktas ZPI prasības un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Biroja ēku projektēšana, būvdarbiem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Ceļu būve un satiksmes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Ūdens sildītāji siltuma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Dārzkopības produkti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Elektroenerģija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Klozetpodi un pisuāri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Koģenerācijas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Mēbeles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Notekūdeņu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Sienu paneļi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Izlietnes krāni, dušas uzgaļi un to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Tekstilpreces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Transports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Veselības aprūpes elektriskās un elektroniskās iekārtas (veselības aprūpes EEI)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Atpūtas un sporta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 iesniedz nacionālajai standartizācijas institūcijai publicēšanai tās tīmekļvietnē to piemērojamo standartu sarakstu, kurus var piemērot šo noteikumu prasību izpildei (turpmāk – piemērojamie standarti).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 kurus var izmantot būvdarbu un citu augstākminēto preču un pakalpojumu grupu ZPI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Biroja ēku projektēšana, būvdarbiem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2018.gada 12.jūnija noteikumu Nr. 326 "Būvju klasifikācijas noteikumi" pielikumu, biroja ēkas definētas kā "ēkas un telpu grupas, kas tiek izmantotas darījumiem un dažādiem administratīvajiem mērķiem, tai skaitā bankas, pasta nodaļas, pašvaldību iestādes, valsts pārvaldes iestādes, uzņēmumu, iestāžu un citu organizāciju ēkas un telpu grupas, kā arī konferenču un kongresu centri, tiesu un parlamenta ēkas un telpu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iedalīti septiņās atsevišķās grupās atbilstoši noteiktiem būvniecības projekta realizācijas posmiem (A-G).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ZPI prasības un kritēriji projektēŠANAS SAGATAVOŠANAI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ZPI prasības un kritēriji projektēŠANAI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ZPI prasības un kritēriji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ZPI prasības un kritēriji likvidēšanas, nojaukšanas un būvlaukuma sagatavošanas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ZPI prasības energosistēmu uzstādīšanai un energopakalpojumu piegādei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ZPI prasības un kritēriji ēkas apsaimniekošanaI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ZPI prasības un kritēriji APVIENOTO PROJEKTĒŠANAS UN BŪVDARBU IEPIRKUMIEM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biroju ēkas būvniecība atbilstoši energoefektivitātes un labu ekoloģisko raksturlielumu standartiem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Esošas biroju ēkas nozīmīga atjaunošana atbilstoši augtiem energoefektivitātes un labu ekoloģisko raksturlielumu standartiem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w:t>
      </w:r>
      <w:r w:rsidR="00000000" w:rsidRPr="00000000" w:rsidDel="00000000">
        <w:rPr>
          <w:rtl w:val="0"/>
        </w:rPr>
        <w:t xml:space="preserve"> </w:t>
      </w:r>
      <w:r w:rsidR="00000000" w:rsidRPr="00000000" w:rsidDel="00000000">
        <w:rPr>
          <w:b w:val="1"/>
          <w:rtl w:val="0"/>
        </w:rPr>
        <w:t xml:space="preserve">ZPI prasības un kritēriji projektēšanas sagatavošanai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ARHITEKTA/ PROJEKTĒTĀJA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Arhitekts/projektētājs ir zinošs un tam ir pieredze norādītajās jomās, par kurām tas atbilstoši līgumam būs atbildīgs (izvēlēties attiecīgo konkrētam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paaugstinātas energoefektivitātes ēku projektēšanā;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tādu būvdarbu projektēšanas līgumu vadībā, kas ir atbilduši klientu izvirzītajām ekoloģisko raksturlielumu prasībām vai tās pārsnieguši;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vides tehnoloģiju un /vai konstruktīvu inovāciju veiksmīgā identificēšanā un realizācijas vadībā, kas nepieciešama ekoloģisko raksturlielumu un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iesaiste vides tehnoloģiju un konstruktīvu inovāciju finansiālajā novērtējumā projektu realizācijas ietvaros.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ietvaros nepieciešams veikt ēkas prognozētās energoefektivitātes globālās sasilšanas potenciālu (GSP) risinājumu alternatīvu izvērtēšanu aprites cikla griezumā.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ZPI prasības un kritēriji projektēšanai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ĒKAS PATĒRĒTĀS ENERĢIJAS IZMAKSU OPTIMALITĀTE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Jaunbūvju, atjaunošanas vai pārbūves projektiem izmaksu ziņā optimālu primārās enerģijas patēriņa pieprasījumu biroju ēkai izsaka kWh/m</w:t>
            </w:r>
            <w:r w:rsidR="00000000" w:rsidRPr="00000000" w:rsidDel="00000000">
              <w:rPr>
                <w:vertAlign w:val="superscript"/>
                <w:rtl w:val="0"/>
              </w:rPr>
              <w:t xml:space="preserve">2</w:t>
            </w:r>
            <w:r w:rsidR="00000000" w:rsidRPr="00000000" w:rsidDel="00000000">
              <w:rPr>
                <w:rtl w:val="0"/>
              </w:rPr>
              <w:t xml:space="preserve"> un aprēķina pēc metodikas, kas norādīta Komisijas Deleģētajā 2012. gada 16. janvāra Regulā (ES) Nr. 244/2012, ar kuru papildina Eiropas Parlamenta un Padomes Direktīvu 2010/31/ES par ēku energoefektivitāti, nosakot salīdzinošās metodoloģijas sistēmu izmaksu ziņā optimālu minimālo energoefektivitātes prasību līmeņu aprēķināšanai ēkām un būves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Ieteicams</w:t>
            </w:r>
            <w:r w:rsidR="00000000" w:rsidRPr="00000000" w:rsidDel="00000000">
              <w:rPr>
                <w:i w:val="1"/>
                <w:rtl w:val="0"/>
              </w:rPr>
              <w:t xml:space="preserve"> lampu un apgaismes projektu iepirkumā izmantot ZPI kritērijus iekštelpu apgaismojumam. Bez tam, lietotājiem jāspēj kontrolēt vai veikt labojumus apgaismošanas sistēmu funkcionēšanu ēkas zonās vai 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ĒKAS ENERGOVADĪBAS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uzstādīta un ekspluatēta ēkas vadības sistēma (BMS), kurā tiek ietverta arī energopārvaldības sistēma un ēkas enerģijas monitoringa sistēma (EMS).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Lietotāja saskarne nodrošina, ka ēkas lietotāji un apsaimniekotāji bez nozīmīgas apmācības var analizēt un lejupielādēt informāciju par enerģijas izmantojumu 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energoefektivitātes pamatparametriem, ko sistēma var kontrolēt (t.i., apgaismojumam, apsildei, dzesēšanai), ir jābūt ērti regulējamiem.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MAZOGLEKĻA VAI BEZOGLEKĻA ENERĢIJAS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ēka ir izvietota vietā, kur ir iespējams pieslēgties augstas efektivitātes un izmaksu ziņā ekonomiskām alternatīvās enerģijas sistēmām, ēkas energosistēmas projektē tā, lai būtu iespējams pieslēgties šai infrastruktūrai.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Augsti efektīva sistēma energoefektivitātes kontekstā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centralizētās siltumapgādes/dzesēšanas sistēma, kuras darbībā izmanto vismaz 50 % atjaunojamās enerģijas, 50 % siltuma pārpalikuma, 75 % koģenerācijas režīmā saražota siltuma vai šādu enerģijas un siltuma veidu kombināciju 50 % apmērā;2) jebkurš siltumapgādes/dzesēšanas risinājums, kas ievērojami samazina primārās enerģijas patēriņu, kas nepieciešams vienas piegādātās enerģijas vienības piegādei attiecīgās sistēmas robežās, ņemot vērā ieguvei, pārveidei, transportēšanai un sadalei nepieciešamo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individuālās siltumapgādes/dzesēšanas risinājums, kurš ievērojami samazina no neatjaunojamiem energoresursiem iegūtas primārās enerģijas patēriņu, kas nepieciešams vienas piegādātās enerģijas vienības piegādei attiecīgās sistēmas robežās, vai kuram nepieciešams tāds pats no neatjaunojamiem energoresursiem iegūtas primārās enerģijas patēriņa apjoms, bet par zemākām izmaksām, ņemot vērā ieguvei, pārveidei, transportēšanai un sadalei nepieciešamo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VELOSIPĒDU NOVIETNE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projektā iestrādā drošu un viegli pieejamu velosipēdu novietni ar jumtu. Vietu skaitu nosaka, pamatojoties uz ēku novērtēšanas shēmu, ņemot vērā arī plānoto iespējamo skaita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ATKĀRTOTI IZMANTOJAMU VAI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 vai tai piegulošajā teritorijā atrodas īpaša glabātava, lai ēkas lietotājiem atvieglotu pārstrādājamu materiālu šķirošanu.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ŪDENS TAUPĪŠANAS IETAISES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sanitārās un virtuves ūdens ietaises ir aprīkotas ar efektīvu ūdensapgādes aprīkojumu, kas atbilst kritērijiem par sanitārtehnisko aprīkojumu un klozetpodiem un pisuāriem ar noskalošanas funkciju. </w:t>
            </w:r>
            <w:r w:rsidR="00000000" w:rsidRPr="00000000" w:rsidDel="00000000">
              <w:rPr>
                <w:i w:val="1"/>
                <w:rtl w:val="0"/>
              </w:rPr>
              <w:t xml:space="preserve"> (Skatīt attiecīgo preču grupu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SILTUMA KOMFORMTA APSTĀKĻI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Biroja ēkas projektētās telpu temperatūras vērtības (minimālā telpu temperatūra ziemā, maksimālā telpu temperatūra vasarā) atbilst vismaz II kategorijai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B9. DIENASGAISMA UN APŽILBINĀJUMA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procenti no izmantojamās biroja platības tiek nodrošināts vidējais dienasgaismas koeficients 1,5 procenti uz ārpagalmu vērstām fasādēm un 0,7 procenti uz iekšpagalmu vērstām fasādēm. Abus koeficientus mēra darba plaknes augstumā, ko nosaka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B10. VENTILĀCIJA UN GAISA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ventilācijas sistēmu, kas piegādā telpās gaisu ar IDA 2 kvalitātes rādītāju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Vietās, kur āra gaisa kvalitāte ir zema, ēkas ventilācijas sistēmu projektē tā, lai nodrošinātu tīra gaisa piegādi birojiem saskaņā ar prasībām 8.3.1.-8.3.2. Zemu gaisa kvalitāti definē kā āra gaisa (ODA) klasi 2 vai 3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B11. IZBŪVES UN APDARES MATERIĀLU IZVĒLE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biroju izbūvei un apdarei izvēlētie materiāli atbilst tabulā norādītajiem emisiju limitiem. Šī prasība attiecas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griestu plātnēm;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krāsām un lakām;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grīdas un sienu tekstilsegumiem;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laminātu un elastīgo grīdas segumu;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koka grīdas segumu.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testēšana jāveic gatavam produktam.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 tabula</w:t>
            </w:r>
            <w:r w:rsidR="00000000" w:rsidRPr="00000000" w:rsidDel="00000000">
              <w:rPr>
                <w:rtl w:val="0"/>
              </w:rPr>
              <w:t xml:space="preserve">. Materiālu un apdares materiālu emisiju limiti.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97"/>
              <w:gridCol w:w="3964"/>
              <w:gridCol w:w="3964"/>
              <w:tblGridChange w:id="0">
                <w:tblGrid>
                  <w:gridCol w:w="5497"/>
                  <w:gridCol w:w="3964"/>
                  <w:gridCol w:w="39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Ražojums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Emisiju limiti (μg/m3)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kopējie gaistošie organiskie savienojumi (</w:t>
                  </w:r>
                  <w:r w:rsidR="00000000" w:rsidRPr="00000000" w:rsidDel="00000000">
                    <w:rPr>
                      <w:i w:val="1"/>
                      <w:rtl w:val="0"/>
                    </w:rPr>
                    <w:t xml:space="preserve">total volatile organic compounds</w:t>
                  </w:r>
                  <w:r w:rsidR="00000000" w:rsidRPr="00000000" w:rsidDel="00000000">
                    <w:rPr>
                      <w:rtl w:val="0"/>
                    </w:rPr>
                    <w:t xml:space="preserve">, TVOC)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B12. APSILDES SISTĒMAS, TOSTARP KOĢENERĀCIJA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apsildes sistēmas (tostarp tādas, kuras apgādā koģenerācijas iekārtas), kas piegādā siltumenerģiju biroja ēkas siltumenerģijas sadales sistēmām, kurās tiek izmantots ūdens vai gaiss, atbilst attiecīgajiem ZPI pamatkritērijiem, kas apliecina katras tehnoloģijas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Ūdenssildītāji, t.sk. sildkatli un siltumsūkņi, ar siltuma jaudu līdz 400 kW, un koģenerācijas iekārtas, kuru elektroenerģijas ražošanas jauda nepārsniedz 50 kWe: atbilst 1. un 2. kritērijam tehniskajā specifikācijā </w:t>
            </w:r>
            <w:r w:rsidR="00000000" w:rsidRPr="00000000" w:rsidDel="00000000">
              <w:rPr>
                <w:i w:val="1"/>
                <w:rtl w:val="0"/>
              </w:rPr>
              <w:t xml:space="preserve">(skat. ZPI kritērijus ūdens sildītājiem).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Koģenerācijas iekārtas, kuru galvenā dzinēja elektroenerģijas ražošanas jauda pārsniedz 50 kWe: atbilst 1. un 2. tehniskajai specifikācijai, kas paredz minimālo gada kopējo efektivitāti 75 procenti un nosaka prasības "augsti efektīvai" koģenerācijai </w:t>
            </w:r>
            <w:r w:rsidR="00000000" w:rsidRPr="00000000" w:rsidDel="00000000">
              <w:rPr>
                <w:i w:val="1"/>
                <w:rtl w:val="0"/>
              </w:rPr>
              <w:t xml:space="preserve">(skat. ZPI kritērijus koģenerācijas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B13. PABEIGTAS ĒKAS NOROBEŽOJOŠO KONSTRUKCIJU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norobežojošās konstrukcijas un to uzbūvi projektē tā, lai nodrošinātu augstu gaisnecaurlaidības standartu. Rādītāji atkarīgi no attiecīgās ēkas ventilēšanas paņēmiena: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dabīgo ventilāciju (vēdināšanu) − q50 ≤ 3 m3/(m2 × 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mehānisko ventilācijas sistēmu − q50 ≤ 2 m3/(m2 × 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mehānisko ventilācijas sistēmu, kas aprīkota ar siltuma atguves (gaisa rekuperācijas) ierīcēm − q50≤ 1,5 m3/(m2 × 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B14. BŪVPROJEKTA VADĪTĀJA VAI IZSTRĀDĀTĀJA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vadītājs vai izstrādātājs ir zinošs un tam ir pieredze norādītajās jomās, par kurām tas atbilstoši līgumam būs atbildīgs </w:t>
            </w:r>
            <w:r w:rsidR="00000000" w:rsidRPr="00000000" w:rsidDel="00000000">
              <w:rPr>
                <w:i w:val="1"/>
                <w:rtl w:val="0"/>
              </w:rPr>
              <w:t xml:space="preserve"> (izvēlēties attiecīgo konkrētam līgumam)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projektēšanā jaunbūvju un/vai ēku atjaunošanas projektos </w:t>
            </w:r>
            <w:r w:rsidR="00000000" w:rsidRPr="00000000" w:rsidDel="00000000">
              <w:rPr>
                <w:i w:val="1"/>
                <w:rtl w:val="0"/>
              </w:rPr>
              <w:t xml:space="preserve">(atzīmēt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energoefektivitāti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(Building Energy Monitoring Systems, BEMS vai ekvivalentu) uzstādīšanā, ēkas apsaimniekotāju informēšanā par to ekspluatāciju un izmantošanu, lai konstatētu, kāds ir ēkas energopatēriņa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ietaišu projektēšanā, tostarp dati </w:t>
            </w:r>
            <w:r w:rsidR="00000000" w:rsidRPr="00000000" w:rsidDel="00000000">
              <w:rPr>
                <w:i w:val="1"/>
                <w:rtl w:val="0"/>
              </w:rPr>
              <w:t xml:space="preserve">(ja pieejami)</w:t>
            </w:r>
            <w:r w:rsidR="00000000" w:rsidRPr="00000000" w:rsidDel="00000000">
              <w:rPr>
                <w:rtl w:val="0"/>
              </w:rPr>
              <w:t xml:space="preserve"> 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pieredze vidi maz ietekmējošu būvmateriālu specifikāciju sastādīšanā,. </w:t>
            </w:r>
            <w:r w:rsidR="00000000" w:rsidRPr="00000000" w:rsidDel="00000000">
              <w:rPr>
                <w:i w:val="1"/>
                <w:rtl w:val="0"/>
              </w:rPr>
              <w:t xml:space="preserve">Ir jāiekļauj atsauce uz produktu vides deklarāciju (PVD)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pieredze darbinieku pārvietošanās plānu izstrādē un /vai īstenošanā, tostarp mazemisiju transportlīdzekļiem un velosipēdiem paredzēta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 profesionālu pilnveidošanos attiecīgajās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B15. BŪVPROJEKTA DAĻU VADĪTĀJU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Attiecināms uz atsevišķu būvprojekta daļu, piemēram, arhitektūras, ūdensapgādes un kanalizācijas, elektroapgādes, apkures, ventilācijas, kondicionēšanas, vājstrāvu, vadības automatizācijas sistēmu daļas, u.c. daļu vadītāju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daļu vadītājs ir zinošs un tam ir pieredze norādītajās jomās, par kuru tas atbilstoši līgumam būs atbildīgs (izvēlēties attiecīgo konkrētam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projektēšanā jaunbūvju un/vai ēku atjaunošanas projektos </w:t>
            </w:r>
            <w:r w:rsidR="00000000" w:rsidRPr="00000000" w:rsidDel="00000000">
              <w:rPr>
                <w:i w:val="1"/>
                <w:rtl w:val="0"/>
              </w:rPr>
              <w:t xml:space="preserve">(norādīt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energoefektivitāti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(Building Energy Monitoring Systems, BEMS vai ekvivalentu) uzstādīšanā, ēkas apsaimniekotāju informēšanā par to ekspluatāciju un izmantošanu, lai konstatētu, kāds ir ēkas energopatēriņa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ietaišu projektēšanā, tostarp dati </w:t>
            </w:r>
            <w:r w:rsidR="00000000" w:rsidRPr="00000000" w:rsidDel="00000000">
              <w:rPr>
                <w:i w:val="1"/>
                <w:rtl w:val="0"/>
              </w:rPr>
              <w:t xml:space="preserve">(ja pieejami)</w:t>
            </w:r>
            <w:r w:rsidR="00000000" w:rsidRPr="00000000" w:rsidDel="00000000">
              <w:rPr>
                <w:rtl w:val="0"/>
              </w:rPr>
              <w:t xml:space="preserve"> 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pieredze vidi maz ietekmējošu būvmateriālu specifikāciju sastādīšanā,. </w:t>
            </w:r>
            <w:r w:rsidR="00000000" w:rsidRPr="00000000" w:rsidDel="00000000">
              <w:rPr>
                <w:i w:val="1"/>
                <w:rtl w:val="0"/>
              </w:rPr>
              <w:t xml:space="preserve">Ir jāiekļauj atsauce uz produktu vides deklarāciju (PVD)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pieredze darbinieku pārvietošanās plānu izstrādē un/vai īstenošanā, tostarp mazemisiju transportlīdzekļiem un velosipēdiem paredzēta infrastruktūra;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B16. ĒKAS PERSONĀLA PĀRVIETOŠANĀS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personāla pārvietošanās plānu izstrādā, konsultējoties ar pasūtītāju, atbildīgo plānošanas iestādi un attiecīgajiem infrastruktūras nodrošinātājiem. Plānā tiek identificēti konkrēti pasākumi, kas, ņemot vērā vietējos apstākļus, var samazināt nepieciešamību pēc došanās uz ēku ar personīgo automobili un veicināt ilgtspējīgāku transporta veidu — tostarp riteņbraukšanas un kājāmiešanas, sabiedriskā transporta, mazemisiju transportlīdzekļu un automobiļu koplietošanas —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B17. ATKĀRTOTI IZMANTOJAMU VAI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teritorijas(-u) lielumu nosaka pēc iespējamā noslogotības līmeņa, lai izvietotu pietiekamu skaitu konteineru, tā maksimāli palielinot otrreizēju pārstrādi un vienlaikus varētu nodrošināt atkritumu atlikuma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B18. DIENASGAISMA UN APŽILBINĀJUMA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ietvaros nepieciešams apzināt vietas ēkā, kur var rasties apžilbinājums, kā arī noteikt kontroles pasākumus, lai šajās vietās ierobežotu tiešu vai netiešu apžilbinājumu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B19.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ietvaros nepieciešams veikt ēkas prognozētās energoefektivitātes globālās sasilšanas potenciālu (GSP) risinājumu alternatīvu izvērtēšanu aprites cikla griezumā.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 ZPI prasības un kritēriji būvdarbiem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Lielākā daļa tehniskās specifikācijas prasības ir jau iepriekš iekļauta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 BŪVGRUŽU (TAI SKAITĀ DEMONTĒŠANAS) ŠĶIROŠANA UN NODOŠANA SPECIĀLOS POLIGONOS Vismaz 55 procenti (masas procenti) nebīstamo atkritumu, ko saražo nojaukšanas un demontēšanas darbos, izņemot rakšanu un aizbēršanu, sagatavo atkārtotai izmantošanai, pārstrādei un citiem materiālu atgūšanas veidiem,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kokmateriāli, stikla, metāla, ķieģeļu, akmens, keramikas un betona materiāli, ko atgūst no ēkas galvenajām konstrukcijām;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izbūves elementi un nenesošie elementi, tostarp durvis un to rāmji, grīdas segums, griestu plātnes, ģipša paneļi, plastmasas profili, izolācijas materiāli, logu rāmji, logu stikls, ķieģeļi, betona bloki un gatavelementi, tērauda stiegras.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 LIKUMĪGAS IZCELSMES KOKMATERIĀLI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kokmateriāliem vai koka izstrādājumiem, ko piegādā saskaņā ar līgumu, jābūt likumīgi iegūtiem atbilstīgi Eiropas Parlamenta un Padomes 2010. gada 20. oktobra Regulai (ES) Nr. 995/2010, ar ko nosaka pienākumus tirgus dalībniekiem, kas laiž tirgū kokmateriālus un koka izstrādājumus (Regula (ES) Nr. 995/2010).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Šī tehniskā specifikācija jāskata kombinācijā ar līguma izpildes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 OBJEKTA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Atkritumi, kas rodas būvdarbos un atjaunošanas darbos, izņemot nojaukšanas atkritumus, nepārsniedz 11 t uz 100 m</w:t>
            </w:r>
            <w:r w:rsidR="00000000" w:rsidRPr="00000000" w:rsidDel="00000000">
              <w:rPr>
                <w:vertAlign w:val="superscript"/>
                <w:rtl w:val="0"/>
              </w:rPr>
              <w:t xml:space="preserve">2</w:t>
            </w:r>
            <w:r w:rsidR="00000000" w:rsidRPr="00000000" w:rsidDel="00000000">
              <w:rPr>
                <w:rtl w:val="0"/>
              </w:rPr>
              <w:t xml:space="preserve"> no biroja iekštelpu bruto platības.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C4. BŪVDARBU VADĪTĀJA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vadītājam ir pieredze norādītajās jomās, par kuru tas atbilstoši līgumam būs atbildīgs </w:t>
            </w:r>
            <w:r w:rsidR="00000000" w:rsidRPr="00000000" w:rsidDel="00000000">
              <w:rPr>
                <w:i w:val="1"/>
                <w:rtl w:val="0"/>
              </w:rPr>
              <w:t xml:space="preserve">(izvēlēties attiecīgo konkrētam līgumam)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būvdarbos jaunbūvju un/vai ēku atjaunošanas projektos </w:t>
            </w:r>
            <w:r w:rsidR="00000000" w:rsidRPr="00000000" w:rsidDel="00000000">
              <w:rPr>
                <w:i w:val="1"/>
                <w:rtl w:val="0"/>
              </w:rPr>
              <w:t xml:space="preserve">(atzīmēt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energopatēriņu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(BEMS) vai ekvivalentu sistēmu uzstādīšanā, ēkas apsaimniekotāju informēšanā par to, kā tās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sistēmu uzstādīšanā, tostarp dati </w:t>
            </w:r>
            <w:r w:rsidR="00000000" w:rsidRPr="00000000" w:rsidDel="00000000">
              <w:rPr>
                <w:i w:val="1"/>
                <w:rtl w:val="0"/>
              </w:rPr>
              <w:t xml:space="preserve">(ja pieejami) </w:t>
            </w:r>
            <w:r w:rsidR="00000000" w:rsidRPr="00000000" w:rsidDel="00000000">
              <w:rPr>
                <w:rtl w:val="0"/>
              </w:rPr>
              <w:t xml:space="preserve">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pieredze vidi maz ietekmējošu būvmateriālu iepirkšanā, montāžā un verifikācijā;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pieredze nojaukšanas un būvlaukuma atkritumu apsaimniekošanas plānu sekmīgā īstenošanā, maksimāli samazinot atkritumu apjomu, t.sk. arī zināšanas un pieredze nodrošinot atkritumu apstrādes iespējas ārpus būvlaukuma.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C5. SPECIALIZĒTO BŪVDARBU VADĪTĀJU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 attiecināms uz specifisku būvprojekta daļu, piemēram, arhitektūras, ūdensapgādes un kanalizācijas, elektroapgādes, apkures, ventilācijas, kondicionēšanas, vājstrāvu, vadības automatizācijas sistēmu daļas, u.c. būvdarbu vadītāju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daļu būvdarbu vadītājs ir zinošs un tam ir pieredze norādītajās jomās, par kuru tas atbilstoši līgumam būs atbildīgs </w:t>
            </w:r>
            <w:r w:rsidR="00000000" w:rsidRPr="00000000" w:rsidDel="00000000">
              <w:rPr>
                <w:i w:val="1"/>
                <w:rtl w:val="0"/>
              </w:rPr>
              <w:t xml:space="preserve"> (izvēlēties attiecīgo konkrētam līgumam)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būvdarbu vadīšanā jaunbūvju un/vai ēku atjaunošanas projektos </w:t>
            </w:r>
            <w:r w:rsidR="00000000" w:rsidRPr="00000000" w:rsidDel="00000000">
              <w:rPr>
                <w:i w:val="1"/>
                <w:rtl w:val="0"/>
              </w:rPr>
              <w:t xml:space="preserve"> (atzīmēt atbilstošo)</w:t>
            </w:r>
            <w:r w:rsidR="00000000" w:rsidRPr="00000000" w:rsidDel="00000000">
              <w:rPr>
                <w:rtl w:val="0"/>
              </w:rPr>
              <w:t xml:space="preserve">, tostarp dati </w:t>
            </w:r>
            <w:r w:rsidR="00000000" w:rsidRPr="00000000" w:rsidDel="00000000">
              <w:rPr>
                <w:i w:val="1"/>
                <w:rtl w:val="0"/>
              </w:rPr>
              <w:t xml:space="preserve">(ja pieejami) </w:t>
            </w:r>
            <w:r w:rsidR="00000000" w:rsidRPr="00000000" w:rsidDel="00000000">
              <w:rPr>
                <w:rtl w:val="0"/>
              </w:rPr>
              <w:t xml:space="preserve">par pabeigtu projektu izmērīto energoefektivitāti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(Building Energy Monitoring Systems, BEMS) vai ekvivalentu sistēmu uzstādīšanā, ēkas apsaimniekotāju informēšanā par to ekspluatāciju un izmantošanu, lai konstatētu, kāds ir ēkas energopatēriņa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ietaišu izbūvē, tostarp dati </w:t>
            </w:r>
            <w:r w:rsidR="00000000" w:rsidRPr="00000000" w:rsidDel="00000000">
              <w:rPr>
                <w:i w:val="1"/>
                <w:rtl w:val="0"/>
              </w:rPr>
              <w:t xml:space="preserve">(ja pieejami) </w:t>
            </w:r>
            <w:r w:rsidR="00000000" w:rsidRPr="00000000" w:rsidDel="00000000">
              <w:rPr>
                <w:rtl w:val="0"/>
              </w:rPr>
              <w:t xml:space="preserve">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C6. ĒKAS APRITES CIKLA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 šajā kritērijā var tikt piešķirti, ja piedāvājuma izvērtēšanas kritērijs attiecībā uz PVD. Ēkas prognozētās energoefektivitātes globālās sasilšanas potenciālu (GSP) aprēķina izmantotā aprites cikla griezumā. Punktus piešķir piegādātājiem ar zemāko kopējo GSP.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C7. ĒKAS GALVENO ELEMENTU EFEKTIVITĀTE: PRODUKTU VIDES DEKLARĀCIJU (PVD) APKOPOJUMS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procedūras dokumentācijā norāda, kurš no tālāk norādītajām trīs variantiem tiek izmantota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Vienkāršotais variants: tiek sakopoti par katru ēkas elementu iegūtie rezultāti attiecībā uz GSP rādītāju, un to norāda kā CO</w:t>
            </w:r>
            <w:r w:rsidR="00000000" w:rsidRPr="00000000" w:rsidDel="00000000">
              <w:rPr>
                <w:vertAlign w:val="subscript"/>
                <w:rtl w:val="0"/>
              </w:rPr>
              <w:t xml:space="preserve">2</w:t>
            </w:r>
            <w:r w:rsidR="00000000" w:rsidRPr="00000000" w:rsidDel="00000000">
              <w:rPr>
                <w:rtl w:val="0"/>
              </w:rPr>
              <w:t xml:space="preserve"> emisijas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Rādītāja rezultātu variants: tiek sakopoti par katru ēkas elementu iegūtie PVD raksturlielumu rezultāti (ACN rezultāti attiecībā uz dažādiem rādītājiem );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Atzīmju vai klašu variants: tiek sakopoti par katru ēkas elementu iegūtās svērtās PVD atzīmes vai klases (parasti atzīme ir izteikta ar skaitli, bet klasi apzīmē ar burtu).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Salīdzināšanas pamatu un izmantojamo variantu precīzi norāda iepirkuma procedūras dokumentācijā. Vērtējamie ēkas elementi - 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 tabula</w:t>
            </w:r>
            <w:r w:rsidR="00000000" w:rsidRPr="00000000" w:rsidDel="00000000">
              <w:rPr>
                <w:rtl w:val="0"/>
              </w:rPr>
              <w:t xml:space="preserve">. Vērtējamie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34"/>
              <w:gridCol w:w="4826"/>
              <w:tblGridChange w:id="0">
                <w:tblGrid>
                  <w:gridCol w:w="4634"/>
                  <w:gridCol w:w="48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Ārsienas, apšuvums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Ārsienas, apšuvums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1.variants: Pasūtītājs piešķir punktus, pamatojoties uz A tabulā norādīto galveno ēkas elementu aprites cikla efektivitātes uzlabojumu salīdzinājumā ar references (būvprojekta) tāmi. Vērtēšanā izmanto Produktu vides deklarāciju. 2.variants: Efektivitāti vērtē, izmantojot PVD, kas 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procedūras dokumentācijā norāda produktu kategorizēšanas noteikumus (PKN, </w:t>
            </w:r>
            <w:r w:rsidR="00000000" w:rsidRPr="00000000" w:rsidDel="00000000">
              <w:rPr>
                <w:i w:val="1"/>
                <w:rtl w:val="0"/>
              </w:rPr>
              <w:t xml:space="preserve">skat. tālāk piezīmi</w:t>
            </w:r>
            <w:r w:rsidR="00000000" w:rsidRPr="00000000" w:rsidDel="00000000">
              <w:rPr>
                <w:rtl w:val="0"/>
              </w:rPr>
              <w:t xml:space="preserve">), ko piemēro attiecībā uz PVD, un visi piegādātāji konsolidē uz PKN pamata sagatavotās PVD saskaņā ar piemērojamiem standartiem. Tiek izmantoti tikai trešo pušu verificēti PKN. Te ietilpst arī izejas datu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3.variants: Vērtējot ēkas elementus nolūkā piešķirt atzīmi vai klasi, ir pieļaujams izmantot normalizēšanu un izsvarošanu, ar nosacījumu, ka ir ieviesti nacionālie PKN, kas ir būvatļauju vai ēku novērtēšanas un sertificēšanas shēmu pamatā.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pirms būvdarbu veicēja izraudzīšanās jau ir veikta analīze, izmantojot PVD, tad projektētāji pasūtītājam iesniedz kopsavilkumu ar galvenajiem izmantotajiem tehniskajiem pieņēmumiem, lai tos varētu ietvert iepirkuma procedūras dokumentācijā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Produktu kategorizēšanas noteikumi ir jāievēro katras PVD sagatavošanā shēmas ietvaros. Tie nosaka, kā jāveic ACN un kā jāverificē katrs produkts, lai nodrošinātu saskanību.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C8. ATKĀRTOTI PĀRSTRĀDĀTA MATERIĀLA IZMANTOŠANA BETONĀ UN MŪRĪ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kritēriju izmanto, ja visiem piegādātājiem ir jāpiedāvā betona un mūra konstrukcijas risinājums. Šis kritērijs attiecas uz biroja ēkām ar betona nesošajām konstrukcijām, bloku sienām un pildrežģa un mūra iekšējām sienām un ārsienām.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piešķir punktus piegādātājiem, kas ir panākuši, ka atkārtoti pārstrādātā materiāla saturs/blakusproduktu saturs B tabulā norādītajos ēkas galvenajos elementos ir vismaz 15 procenti (pēc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 noteikt augstākas prasības par minimālo saturu, ja pirms būvdarbu veicēja izraudzīšanās ir panākta vienošanās ar projektētājiem.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B tabula</w:t>
            </w:r>
            <w:r w:rsidR="00000000" w:rsidRPr="00000000" w:rsidDel="00000000">
              <w:rPr>
                <w:rtl w:val="0"/>
              </w:rPr>
              <w:t xml:space="preserve">. Ietveramie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8"/>
              <w:gridCol w:w="4922"/>
              <w:tblGridChange w:id="0">
                <w:tblGrid>
                  <w:gridCol w:w="4538"/>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pārstrādāto saturu aprēķina, pamatojoties uz atkārtoti pārstrādāto materiālu un/vai blakusproduktu vidējo masas bilanci atkarībā no tā, kā tos ražo un piegādā uz būvlaukumu (attiecīgā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katra gatavā maisījuma betona partija, no kuras betonu piegādā būvlaukumā –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rūpnieciski ražoti paneļi, balsti, bloki un elementi ar norādītu saturu –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C9. EFEKTIVITĀTES PRASĪBAS ATTIECĪBĀ UZ CO2 EKVIVALENTĀM EMISIJĀM, KAS RODAS PILDVIELU TRANSPORTĒŠANĀ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proporcionāli CO</w:t>
            </w:r>
            <w:r w:rsidR="00000000" w:rsidRPr="00000000" w:rsidDel="00000000">
              <w:rPr>
                <w:vertAlign w:val="subscript"/>
                <w:rtl w:val="0"/>
              </w:rPr>
              <w:t xml:space="preserve">2</w:t>
            </w:r>
            <w:r w:rsidR="00000000" w:rsidRPr="00000000" w:rsidDel="00000000">
              <w:rPr>
                <w:rtl w:val="0"/>
              </w:rPr>
              <w:t xml:space="preserve"> ekvivalentu (CO</w:t>
            </w:r>
            <w:r w:rsidR="00000000" w:rsidRPr="00000000" w:rsidDel="00000000">
              <w:rPr>
                <w:vertAlign w:val="subscript"/>
                <w:rtl w:val="0"/>
              </w:rPr>
              <w:t xml:space="preserve">2</w:t>
            </w:r>
            <w:r w:rsidR="00000000" w:rsidRPr="00000000" w:rsidDel="00000000">
              <w:rPr>
                <w:rtl w:val="0"/>
              </w:rPr>
              <w:t xml:space="preserve">e) emisiju samazinājumam uz tonnu pildvielu, ko izmanto E tabulā uzskaitīto ēkas galveno elementu ražošanā. Iepirkuma procedūras dokumentācijā norāda transportēšanā radušos CO</w:t>
            </w:r>
            <w:r w:rsidR="00000000" w:rsidRPr="00000000" w:rsidDel="00000000">
              <w:rPr>
                <w:vertAlign w:val="subscript"/>
                <w:rtl w:val="0"/>
              </w:rPr>
              <w:t xml:space="preserve">2</w:t>
            </w:r>
            <w:r w:rsidR="00000000" w:rsidRPr="00000000" w:rsidDel="00000000">
              <w:rPr>
                <w:rtl w:val="0"/>
              </w:rPr>
              <w:t xml:space="preserve"> emisiju aprēķināšanas metodi un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pamatojoties uz projektētāju sniegto informāciju, varētu noteikt mērķrādītāju: maksimālās CO</w:t>
            </w:r>
            <w:r w:rsidR="00000000" w:rsidRPr="00000000" w:rsidDel="00000000">
              <w:rPr>
                <w:vertAlign w:val="subscript"/>
                <w:rtl w:val="0"/>
              </w:rPr>
              <w:t xml:space="preserve">2</w:t>
            </w:r>
            <w:r w:rsidR="00000000" w:rsidRPr="00000000" w:rsidDel="00000000">
              <w:rPr>
                <w:rtl w:val="0"/>
              </w:rPr>
              <w:t xml:space="preserve">e emisijas uz tonnu transportēto pildvielu. Šādu mērķrādītāju kopā ar to pamatā esošajiem pieņēmumiem un noteikumiem ietver būvdarbu iepirkumu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C tabula</w:t>
            </w:r>
            <w:r w:rsidR="00000000" w:rsidRPr="00000000" w:rsidDel="00000000">
              <w:rPr>
                <w:rtl w:val="0"/>
              </w:rPr>
              <w:t xml:space="preserve">. Ietveramie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59"/>
              <w:gridCol w:w="5401"/>
              <w:tblGridChange w:id="0">
                <w:tblGrid>
                  <w:gridCol w:w="4059"/>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C10. MAZOGLEKĻA UN BEZOGLEKĻA NULLES ENERGOAVOTU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 tiek piešķirti piegādātājam, kurš nodrošina iespēju pieslēgties augstas efektivitātes un izmaksu ziņā ekonomiskām alternatīvās enerģijas sistēmām, un sniedz apkopes pakalpojumus. </w:t>
            </w:r>
            <w:r w:rsidR="00000000" w:rsidRPr="00000000" w:rsidDel="00000000">
              <w:rPr>
                <w:i w:val="1"/>
                <w:rtl w:val="0"/>
              </w:rPr>
              <w:t xml:space="preserve">Tiek izmantots kopā ar attiecīgās tehniskās specifikācijas kritēriju.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C11.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ietvaros nepieciešams veikt ēkas prognozētās energoefektivitātes globālās sasilšanas potenciālu (GSP) risinājumu alternatīvu izvērtēšanu aprites cikla griezumā.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C12. BŪVGRUŽU (TAI SKAITĀ DEMONTĒŠANAS) ŠĶIROŠANA UN NODOŠANA SPECIĀLOS POLIGONOS Būvuzņēmējs izstrādā pirmsnojaukšanas/ pirmsdemontēšanas auditu, lai noteiktu, kādus materiālus var izmantot atkārtoti, reciklēt vai atgūt,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tādu bīstamo atkritumu (tostarp elektrisko un elektronisko iekārtu atkritumu(EEIA)) identificēšana un riska novērtēšana, kam var būt nepieciešama specializēta apiešanās un apstrāde, vai nojaukšanas laikā iespējami radušos emisiju identifikācija un riska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tāme, kurā atsevišķi uzskaitīti dažādi būvmateriāli un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aplēse par būvgružu atkārtotas izmantošanas un pārstrādes potenciālu procentos, pamatojoties uz to, kādas dalītas vākšanas sistēmas ierosināts izmantot nojaukšanas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Identificētos materiālus, produktus un elementus uzskaita nojaukšanas darbu tāmē.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C13. OBJEKTA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darbu uzsākšanas objektā Būvuzņēmējs sagatavo atkritumu apsaimniekošanas plānu. Plānā norāda, kādas dalītās vākšanas sistēmas objektā izmantos, lai sašķirotu materiālus atkārtotai izmantošanai, pārstrādei un citiem materiālu atgūšanas veidiem. Objekta atkritumu apsaimniekošanas plāns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būvizstrādājumus, kas veido galvenos ēkas elementus, tostarp kokmateriālus, stikla, metāla, ķieģeļu, keramikas, betona un inertos atkritumus, kā arī saistītos iepakojuma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būvizstrādājumus, kas ir daļa no ēkas izbūves, tostarp grīdas segumus, griestu plātnes, sausā apmetuma un ģipša paneļus, plastmasas profilus un izolācijas materiālus, kā arī saistītos iepakojuma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dalītā vākšana atkārtotai izmantošanai, pārstrādei un atgūšanai notiek atbilstoši atkritumu hierarhijai, kas noteikta Ministru kabineta 2013.gada 2.aprīļa noteikumos Nr.184 "Noteikumi par atkritumu dalītu savākšanu, sagatavošanu atkārtotai izmantošanai, pārstrādi un materiālu reģenerāciju."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Objektā notiekošo būvdarbu laikā seko līdzi tam un ziņo par to, kā tiek realizēts apstiprinātais atkritumu apsaimniekošanas plāns. Tas ietver datus, kas attiecas uz to materiālu masu, kas objektā savākti dalītajā vākšanā ar mērķi tos atkārtoti izmantot un pārstrādāt tehniskajās specifikācijās norādītajā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izmantota sistēma, kā monitorē un kvantificē radušos atkritumus un materiālus, kas nodalīti atkārtotai izmantošanai un pārstrādei. Tāpat sistēmā var sekot līdzi un verificēt, kur nonāk atkritumu sūtījumi. Monitoringa un izsekošanas datus iesniedz līgumslēdzējai iestādei norunātā biežumā.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C14. ĒKAS ENERGOSISTĒMU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iepirkuma procedūras šis noteikums var attiekties arī uz sistēmām, ko uzstāda trešā puse – energopakalpojumu sniedzējs </w:t>
            </w:r>
            <w:r w:rsidR="00000000" w:rsidRPr="00000000" w:rsidDel="00000000">
              <w:rPr>
                <w:i w:val="1"/>
                <w:rtl w:val="0"/>
              </w:rPr>
              <w:t xml:space="preserve">(skatīt E sadaļu)</w:t>
            </w:r>
            <w:r w:rsidR="00000000" w:rsidRPr="00000000" w:rsidDel="00000000">
              <w:rPr>
                <w:rtl w:val="0"/>
              </w:rPr>
              <w:t xml:space="preserve">. Šādas sistēmas tiek projektētas, uzstādītas un nodotas ekspluatācijā, ievērojot saskaņotos projektus un specifikācijas: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apsilde, ventilācija un gaisa kondicionēšana (AVGK);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mazoglekļa un bezoglekļa energotehnoloģijas;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ēkas energovadības sistēma (BEMS);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veic katras sistēmas funkcionālās veiktspējas testu, tostarp veiktspējas mērījumus. AVGK sistēmām jāatbilst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iesniedz apsekošanas ziņojuma kopiju vai sertifikātu, kas apliecina, ka ir veikta ēkas inženiertīklu un inženieriekārtu testēšana, un satur datus, kas pierāda, ka ietaises darbojas, nepārsniedzot projektētos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C15. ATKĀRTOTI PĀRSTRĀDĀTA SATURA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materiālus pasūta un nogādā būvlaukumā atsevišķās partijās, atkārtoti pārstrādātā satura atbilstību iepirkuma piedāvājumā norādītajam pārbauda katrai produkta partijai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atbilstību pārbauda, ievācot informāciju no izmantoto būvizstrādājumu piegādātāja (-iem), t.sk. veicotmasas bilances aprēķinus, kurus apstiprina partijas testēšanas rezultāti, piegādes dokumentācija un/vai rūpnīcas ražošanas kontroles dokumentācija. Katra dokumenta datus verificē trešās puses veiktā auditā.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w:t>
            </w:r>
            <w:r w:rsidR="00000000" w:rsidRPr="00000000" w:rsidDel="00000000">
              <w:rPr>
                <w:i w:val="1"/>
                <w:rtl w:val="0"/>
              </w:rPr>
              <w:t xml:space="preserve">"partija" ir vienoti marķētu tādu produktu daudzums, ko ražo vienā un tajā pašā maisāmajā iekārtā vienādos apstākļos saskaņā ar noteiktu maisījuma projektu un izmantojot tās pašas izejvielas.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C16. KOKMATERIĀLU LIKUMĪGA IEGŪŠANA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iespējams, ieteicams veikt izlases veida pārbaudes sadarbībā ar kompetento iestādi, kas atbildīga par Eiropas Parlamenta un Padomes 2010. gada 20. oktobra Regulas (ES) Nr. 995/2010, ar ko nosaka pienākumus tirgus dalībniekiem, kas laiž tirgū kokmateriālus un koka izstrādājumus, īstenošanu.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ir tiesīgs izlases veidā pārbaudīt, vai saskaņā ar līgumu izmantotie koka izstrādājumi (visi vai to konkrēta apakšgrupa) atbilst C1 tehniskajai specifikācijai. Pēc pieprasījuma darbuzņēmējs sniedz pierādījumus, kas apliecina atbilstību Eiropas Parlamenta un Padomes 2010. gada 20. oktobra Regulai (ES) Nr. 995/2010, ar ko nosaka pienākumus tirgus dalībniekiem, kas laiž tirgū kokmateriālus un koka izstrādājumus.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Vairumā gadījumu, ja būvdarbu veicējs nav uzņēmums, kas pirmais laiž kokmateriālus vai koka izstrādājumus ES tirgū, bet iegūst šādus produktus no citiem (Regulā (ES) Nr. 995/2010 definēts kā "tirgotājs"), būvdarbu veicējs par kokmateriāliem vai koka izstrādājumiem sniedz šādu informāciju, ko pēc tam verificē izlases veida pārbaudēs: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tirgus dalībnieki vai tirgotāji, kas piegādājuši kokmateriālus un koka izstrādājumus to izmantošanai ēkas būvniecībā;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dokumenti vai cita informācija, kas apliecina šo koka izstrādājumu atbilstību spēkā esošiem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pierādījumi par risku novērtēšanu un īstenotajām risku mazināšanas procedūrām saskaņā ar Regulas (ES) Nr. 995/2010 6. panta 1. punkta b) un c)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būvdarbu veicējs kokmateriālus vai koka izstrādājumus pirmais laiž ES tirgū to izmantošanai būvniecības projektā (Regulā (ES) Nr. 995/2010 definēts kā "tirgus dalībnieks"), piegādātājs par kokmateriāliem vai koka izstrādājumiem sniedz šādu informāciju, ko pēc tam pārbauda izlases veida pārbaudēs: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katra izmantoto kokmateriālu veida apraksts, tostarp tirdzniecības nosaukums, izstrādājuma veids, koka sugas vispārpieņemtais nosaukums – attiecīgā gadījumā – pilns zinātniskais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kokmateriālu un koka izstrādājumu piegādātāja nosaukums/vārds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ieguves valsts un – vajadzības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attiecīgās valsts reģions, kur kokmateriāli 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ieguves koncesija;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daudzums (apjoms, svars vai vienību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dokumenti vai cita informācija, kas apliecina šo koka izstrādājumu atbilstību spēkā esošiem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pierādījumi par risku novērtēšanu un īstenotajām risku mazināšanas procedūrām saskaņā ar Eiropas Parlamenta un Padomes 2010. gada 20. oktobra Regulu (ES) Nr. 995/2010, ar ko nosaka pienākumus tirgus dalībniekiem, kas laiž tirgū kokmateriālus un koka izstrādājumus 6. panta 1. punkta b) un c) apakšpunktu. Tie var ietvert sertifikāciju vai citas trešo pušu verificētas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Kokmateriāli, kam ir derīgas ES FLEGT vai CITES licences, ir uzskatāmi par likumīgi iegūtiem saskaņā ar Eiropas Parlamenta un Padomes 2010. gada 20. oktobra Regulu (ES) Nr. 995/2010, ar ko nosaka pienākumus tirgus dalībniekiem, kas laiž tirgū kokmateriālus un koka izstrādājumus.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C17. PABEIGTAS ĒKAS NOROBEŽOJOŠO KONSTRUKCIJU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Pabeidzot būvniecību, būvdarbu veicējs testē pabeigtas ēkas norobežojošo konstrukciju un to uzbūves kvalitāti saskaņā ar piemērojamiem standartiem, lai nodrošinātu, ka ir sasniegta projektētā veiktspēja.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testē pabeigtas ēkas norobežojošo konstrukciju un tās uzbūves kvalitāti, lai nodrošinātu atbilstību projektā noteiktajai gaiscaurlaidības specifikācijai. Ja konstatē defektus, tiek ierosināts, kā tos novērst.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mehāniskās ventilācijas metodi testē vismaz 20 procentus no ēkas izmantojamās iekštelpu platības, pierādot, ka projektētā gaiscaurlaidība atbilst attiecīgās ēkas ventilēšanas paņēmienam.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Testēšanu veic saskaņā ar piemērojamiem standartiem, kurus akceptē attiecīgā būvuzraudzības iestāde ēkas atrašanās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Testēšanu veic pēc būvniecības praktiskas pabeigšanas. Pēc tam, kad ir veikta testēšana saskaņā ar piemērojamiem standartiem, darbuzņēmējs iesniedz apsekojuma ziņojuma vai sertifikāta kopiju, kas apliecina, ka ēka atbilst gaiscaurlaidības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C18.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Skatīt noteikumu 1.pielikuma 6.3. sadaļu "ZPI kritēriji iekštelpu apgaismojuma uzstādīšanai"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tiek nodotas ekspluatācijā saskaņā ar 1. pielikuma 6.3. sadaļā iekļauto līguma izpildes 1. noteikumu. Būvdarbu veicējs nodrošina sistēmu ekspluatācijas norādījumus saskaņā ar 6.3.sadaļas tehniskās specifikācijas 1. prasību.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lietotājiem un (ja attiecināms) nozīmētajam apsaimniekotājam nodrošina apmācību par sistēmu izmantošanu, t.sk. arī saskarni ar BEMS (F2.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 vai projektēšanas un būvdarbu veicējs iesniedz apsekošanas ziņojuma kopiju vai sertifikātu, kas apliecina, ka ir veikta apgaismes sistēmu testēšana, un satur datus, kas pierāda, ka sistēmas darbojas, nepārsniedzot projektētos parametrus. Tāpat tie apstiprina, ka ir nodrošināti nepieciešamie materiāli un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C19. ĒKAS ENERGOVADĪBAS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energovadības sistēmu (BEMS) nodod ekspluatācijā saskaņā ar noteiktajām tehniskajām specifikācijām. Būvdarbu veicējs nodrošina BEMS ekspluatācijas rokasgrāmatu. Ēkas lietotājiem un (ja attiecināms) nozīmētajam apsaimniekotājam nodrošina apmācību par BEMS izmantošanu, t.sk.lietotāja saskarnes izmantošanu, lai analizētu un lejupielādētu energodatus, izmantojot pieejamos programmatūras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iesniedz: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apsekojuma ziņojuma vai sertifikāta kopiju, kas apliecina, ka ir veikta BEMS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datus, kas pierāda, ka sistēmas darbojas atbilstoši projektētajiem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apstiprinājumu, ka ir nodrošināti nepieciešamie materiāli un apmācības.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C20. MAZOGLEKĻA UN BEZOGLEKĻA NULLES ENERGOAVOTU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Mazoglekļa vai bezoglekļa energosistēmas ekspluatē saskaņā ar nepieciešamajām tehniskajām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iesniedz apsekošanas ziņojuma kopiju vai sertifikātu, kas apliecina, ka ir veikta energosistēmu testēšana, un satur datus, kas pierāda, ka sistēmas darbojas, nepārsniedzot projektētos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C21. ATKĀRTOTI IZMANTOJAMU UN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Pabeidzot būvniecību, Būvuzņēmējs apstiprina, ka ēkā vai tai piegulošajā teritorijā atrodas īpaša glabātava, lai ēkas lietotājiem atvieglotu atkārtoti izmantojamu un pārstrādājamu materiālu un nolietotu izstrādājumu nošķiršanu (atsaucoties uz B6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iesniedz izbūvēto pārstrādājamu materiālu savākšanas ietaišu detalizētus gala plānus.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 ZPI prasības un kritēriji likvidēšanas, nojaukšanas un būvlaukauma sagatavošanas darbiem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 BŪVGRUŽU (TAI SKAITĀ DEMONTĒŠANAS) ŠĶIROŠANA UN NODOŠANA SPECIĀLOS POLIGONOS Vismaz 55 procenti (masas procenti) nebīstamo atkritumu, ko saražo nojaukšanas un demontēšanas darbos, izņemot rakšanu un aizbēršanu, sagatavo atkārtotai izmantošanai, pārstrādei un citiem materiālu atgūšanas veidiem,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kokmateriāli, stikla, metāla, ķieģeļu, akmens, keramikas un betona materiāli, ko atgūst no ēkas galvenajām konstrukcijām;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izbūves elementi un nenesošie elementi, tostarp durvis un to rāmji, grīdas segums, griestu plātnes, ģipša paneļi, plastmasas profili, izolācijas materiāli, logu rāmji, logu stikls, ķieģeļi, betona bloki un gatavelementi, tērauda stiegras.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D2. BŪVGRUŽU PIRMSNOJAUKŠANAS/ PIRMSDEMONTĒŠANAS 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izstrādā pirmsnojaukšanas/ pirmsdemontēšanas auditu, lai noteiktu, kādus materiālus var izmantot atkārtoti, pārstrādāt vai citā veidā atgūt,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tādu bīstamo atkritumu (tostarp elektrisko un elektronisko iekārtu atkritumu (EEIA)) identificēšana un riska novērtēšana, kam var būt nepieciešama specializēta apiešanās un apstrāde, vai nojaukšanas laikā iespējami radušos emisiju identifikācija un riska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tāme, kurā atsevišķi uzskaitīti dažādi būvmateriāli un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aplēse par atkārtotas izmantošanas un pārstrādes potenciālu procentos, pamatojoties uz to, kādas dalītas vākšanas sistēmas ierosināts izmantot nojaukšanas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Identificētos materiālus, produktus un elementus uzskaita nojaukšanas darbu tāmē.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 ZPI prasības energosistēmu uzstādīšanai un energopakalpojumu piegādei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Prasības piemērojamas, ja to ir iespējams attiecināt uz paredzēto projektu. Būtu vēlams, ka šis kritērijs būtu iekļauts jau projektā.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 APSILDES SISTĒMAS, TOSTARP KOĢENERĀCIJA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apsildes sistēmas (tostarp tādas, kuras apgādā koģenerācijas iekārtas), kas piegādā siltumenerģiju biroja ēkas siltumenerģijas sadales sistēmām, kurās tiek izmantots ūdens vai gaiss, atbilst attiecīgajiem ZPI pamatkritērijiem, kas apliecina katras tehnoloģijas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Ūdenssildītāji, t.sk. sildkatli un siltumsūkņi, ar siltuma jaudu līdz 400 kW, un koģenerācijas iekārtas, kuru elektroenerģijas ražošanas jauda nepārsniedz 50 kWe: atbilst 1. un 2. kritērijam tehniskajā specifikācijā </w:t>
            </w:r>
            <w:r w:rsidR="00000000" w:rsidRPr="00000000" w:rsidDel="00000000">
              <w:rPr>
                <w:i w:val="1"/>
                <w:rtl w:val="0"/>
              </w:rPr>
              <w:t xml:space="preserve">(skat. ZPI kritērijus ūdens sildītājiem)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Koģenerācijas iekārtas, kuru galvenā dzinēja elektroenerģijas ražošanas jauda pārsniedz 50 kWe: atbilst 1. un 2. tehniskajai specifikācijai, kas paredz minimālo gada kopējo efektivitāti 75 procenti un nosaka prasības "augsti efektīvai" koģenerācijai </w:t>
            </w:r>
            <w:r w:rsidR="00000000" w:rsidRPr="00000000" w:rsidDel="00000000">
              <w:rPr>
                <w:i w:val="1"/>
                <w:rtl w:val="0"/>
              </w:rPr>
              <w:t xml:space="preserve">(skat. ZPI kritērijus koģenerācijas iekārtām)</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 ZPI prasības un kritēriji ēkas apsaimniekošanai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 ĒKAS ENERGOVADĪBAS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ekspluatētājs vai ēkas apsaimniekotājs katru mēnesi sagatavo atskaites ēkas lietotājiem, izmantojot datus no ēkas energovadības sistēmas (BEMS). Šo kārtību reizi gadā pārskata. Atskaitēs sīki un atsevišķi iedala enerģijas izmantojumu apsildes, dzesēšanas, ventilācijas un apgaismošanas vajadzībām katrā sezonā.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F2. ENERGOEFEKTIVITĀTES PAKALPOJUMA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ēkas ekspluatētājs vai apsaimniekotājs, pamatojoties uz ēkas enerģijas patēriņa sākotnējo modelēšanu (skatīt B3. kritēriju), vienojas par enerģijas patēriņa limitiem saistībā ar apgaismojumu, apsildi, dzesēšanu, ventilāciju un rezerves energoiekārtām. Tas neietver paredzēto slodzi saistībā ar lietotājiem, piemēram, te neietilpst patērētāju (piemēram, serveru vai mazjaudas iekārtu) prognozētā slodze. Jaunbūvēm nepieciešams nodrošināt energoefektivitātes garantiju.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pamatā ir veiktie aprēķini pēc Ministru kabineta 2013.gada 25.jūnija noteikumiem Nr.348 "Ēkas energoefektivitātes aprēķina metodes" un Latvijas būvnormatīvu būvklimatoloģijas prasībām. . Tāpat līgumā nosaka korekcijas saistībā ar nākotnē iespējamām noslogojuma izmaiņām, ārkārtas laika apstākļiem un tirgus enerģijas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enerģijas izmantojums ir pārsniedzis šos limitus, attiecīgi energoefektivitātes pakalpojuma sniedzējs atbild par papildu izmaksām. Ja enerģijas patēriņš šos limitus nav pārsniedzis, ietaupījumu varētu dalīt 50:50 (vai vienoties par citu ietaupījuma sadalījumu) ar pasūtītāju iestādi. Šo kārtību reizi gadā pārskata.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 ATKRITUMU APSAIMNIEKOŠANAS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apsaimniekotājs ievieš sistēmas, kas ēkas lietotājiem dod iespēju šķirot papīru, kartonu, pārtikas un dzērienu iepakojumu (stiklu, plastmasu un citus materiālus, ja pastāv attiecīgas vietējās dalītās vākšanas sistēmas) atsevišķās pārstrādes plūsmās. Ja iespējams, baterijas, tintes un toneru kasetnes, IT aprīkojumu un mēbeles arī vāc un sagatavo to atkārtotai izmantošanai vai pārstrādei.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 ENERGOEFEKTIVITĀTES PAKALPOJUMA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ietvaros neatkarīgi tiek apkopoti energodati, lai varētu veikt ēkas energoefektivitātes monitoringu gada griezumā, to salīdzinot ar saskaņotajiem energopatēriņa limitiem. Ēkas ekspluatētājs vai apsaimniekotājs nodrošina, ka datus no rēķiniem/skaitītājiem un ēkas energovadības sistēmas apkopo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Šos datus katru gada pārskata gan ekspluatētājs, gan pasūtītājs, lai noteiktu ēkas enerģijas patēriņu un gan ekspluatētāja, gan pasūtītāja mēneša peļņu/zaudējumus.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 ATKRITUMU APSAIMNIEKOŠANAS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ekspluatētājs pastāvīgi, ar pasūtītāju saskaņotā kārtībā uzrauga un uzskaita ēkā radušos atkritumus un atkārtotas izmantošanas un pārstrādes apjomus. Apsaimniekotājs vai būvdarbu veicējs pasūtītājam sniedz mēneša datus par radušos atkritumu apjomu, ko izsaka kā kopējo ēkā radušos atkritumu proporciju un kilogramos uz atkritumu frakciju.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 ZPI prasības un kritēriji apvienoto projektēšanas un būvdarbu iepirkumiem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 ĒKAS PATĒRĒTAIS ENERĢIJAS IZMAKSU OPTIMALITĀTE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Jaunbūvju, atjaunošanas vai pārbūves projektiem izmaksu ziņā optimālu primārās enerģijas patēriņa pieprasījumu biroju ēkai izsaka kWh/m</w:t>
            </w:r>
            <w:r w:rsidR="00000000" w:rsidRPr="00000000" w:rsidDel="00000000">
              <w:rPr>
                <w:vertAlign w:val="superscript"/>
                <w:rtl w:val="0"/>
              </w:rPr>
              <w:t xml:space="preserve">2</w:t>
            </w:r>
            <w:r w:rsidR="00000000" w:rsidRPr="00000000" w:rsidDel="00000000">
              <w:rPr>
                <w:rtl w:val="0"/>
              </w:rPr>
              <w:t xml:space="preserve"> un aprēķina pēc metodikas, kas norādīta Komisijas Deleģētajā 2012. gada 16. janvāra Regulā (ES) Nr. 244/2012, ar kuru papildina Eiropas Parlamenta un Padomes Direktīvu 2010/31/ES par ēku energoefektivitāti, nosakot salīdzinošās metodoloģijas sistēmu izmaksu ziņā optimālu minimālo energoefektivitātes prasību līmeņu aprēķināšanai ēkām un būves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Ieteicams</w:t>
            </w:r>
            <w:r w:rsidR="00000000" w:rsidRPr="00000000" w:rsidDel="00000000">
              <w:rPr>
                <w:i w:val="1"/>
                <w:rtl w:val="0"/>
              </w:rPr>
              <w:t xml:space="preserve"> lampu un apgaismes projektu iepirkumā izmantot ZPI kritērijus iekštelpu apgaismojumam. Bez tam lietotājiem jāspēj kontrolēt vai pārlabot apgaismošanas sistēmu funkcionēšanu ēkas zonās vai 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 ĒKAS ENERGOVADĪBAS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uzstādīta un ekspluatēta ēkas vadības sistēma (BMS) vai ekvivalenta sistēma, kurā tiek ietverta arī energopārvaldības sistēma un ēkas enerģijas monitoringa sistēma (EMS) vai ekvivalenta.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Lietotāja saskarne nodrošina, ka ēkas lietotāji un apsaimniekotāji bez nozīmīgas apmācības var analizēt un lejupielādēt informāciju par enerģijas izmantojumu 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energoefektivitātes pamatparametriem, ko sistēma var kontrolēt (t.i., apgaismojumam, apsildei, dzesēšanai), ir jābūt ērti regulējamiem.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G4. MAZOGLEKĻA VAI BEZOGLEKĻA ENERĢIJAS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ēka ir izvietota vietā, kur ir iespējams pieslēgties augstas efektīvitātes un izmaksu ziņā ekonomiskām alternatīvās enerģijas sistēmām, ēkas energosistēmas projektē tā, lai būtu iespējams pieslēgties šai infrastruktūrai.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Augsti efektīva sistēma energoefektivitātes kontekstā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centralizētās siltumapgādes/dzesēšanas sistēma, kuras darbībā izmanto vismaz 50 % atjaunojamās enerģijas, 50 % siltuma pārpalikuma, 75 % koģenerācijas režīmā saražota siltuma vai šādu enerģijas un siltuma veidu kombināciju 50 %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jebkurš siltumapgādes/dzesēšanas risinājums, kas ievērojami samazina primārās enerģijas patēriņu, kas nepieciešams vienas piegādātās enerģijas vienības piegādei attiecīgās sistēmas robežās, ņemot vērā ieguvei, pārveidei, transportēšanai un sadalei nepieciešamo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individuālās siltumapgādes/dzesēšanas risinājums, kurš ievērojami samazina no neatjaunojamiem energoresursiem iegūtas primārās enerģijas patēriņu, kas nepieciešams vienas piegādātās enerģijas vienības piegādei attiecīgās sistēmas robežās, vai kuram nepieciešams tāds pats no neatjaunojamiem energoresursiem iegūtas primārās enerģijas patēriņa apjoms, bet par zemākām izmaksām, ņemot vērā ieguvei, pārveidei, transportēšanai un sadalei nepieciešamo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G5. VELOSIPĒDU NOVIETNE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projektā iestrādā drošu un viegli pieejamu velosipēdu novietni ar jumtu. Vietu skaitu nosaka, pamatojoties uz ēku novērtēšanas shēmu, ņemot vērā arī plānoto iespējamo skaita palielinājumu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G6. ATKĀRTOTI IZMANTOJAMU VAI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 vai tai piegulošajā teritorijā atrodas īpaša glabātava, lai ēkas lietotājiem atvieglotu pārstrādājamu materiālu šķirošanu.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G7. ŪDENS TAUPĪŠANAS IETAISES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sanitārās un virtuves ūdens ietaises ir aprīkotas ar efektīvu ūdensapgādes aprīkojumu, kas atbilst kritērijiem par sanitārtehnisko aprīkojumu un klozetpodiem un pisuāriem ar noskalošanas funkciju. </w:t>
            </w:r>
            <w:r w:rsidR="00000000" w:rsidRPr="00000000" w:rsidDel="00000000">
              <w:rPr>
                <w:i w:val="1"/>
                <w:rtl w:val="0"/>
              </w:rPr>
              <w:t xml:space="preserve"> (Skatīt attiecīgo preču grupu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G8. SILTUMA KOMFORMTA APSTĀKĻI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Biroja ēkas projektētās telpu temperatūras vērtības (minimālā telpu temperatūra ziemā, maksimālā telpu temperatūra vasarā) atbilst vismaz II kategorijai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G9. DIENASGAISMA UN APŽILBINĀJUMA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procenti no izmantojamās biroja platības tiek nodrošināts vidējais dienasgaismas koeficients 1,5 procenti uz ārpagalmu vērstām fasādēm un 0,7 procenti uz iekšpagalmu vērstām fasādēm. Abus koeficientus mēra darba plaknes augstumā, ko nosaka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G10. VENTILĀCIJA UN GAISA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ventilācijas sistēmu, kas piegādā telpās gaisu ar IDA 2 kvalitātes rādītāju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Vietās, kur āra gaisa kvalitāte ir zema, ēkas ventilācijas sistēmu projektē tā, lai nodrošinātu tīra gaisa piegādi birojiem saskaņā ar prasībām 8.3.1.-8.3.2. Zemu gaisa kvalitāti definē kā āra gaisa (ODA) klasi 2 vai 3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G11. BŪVGRUŽU (TAI SKAITĀ DEMONTĒŠANAS) ŠĶIROŠANA UN NODOŠANA SPECIĀLOS POLIGONOS Vismaz 55 procenti (masas procenti) nebīstamo atkritumu, ko saražo nojaukšanas un demontēšanas darbos, izņemot rakšanu un aizbēršanu, sagatavo atkārtotai izmantošanai, pārstrādei un citiem materiālu atgūšanas veidiem,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kokmateriāli, stikla, metāla, ķieģeļu, akmens, keramikas un betona materiāli, ko atgūst no ēkas galvenajām konstrukcijām;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izbūves elementi un nenesošie elementi, tostarp durvis un to rāmji, grīdas segums, griestu plātnes, ģipša paneļi, plastmasas profili, izolācijas materiāli, logu rāmji, logu stikls, ķieģeļi, betona bloki un gatavelementi, tērauda stiegras.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G12. LIKUMĪGAS IZCELSMES KOKMATERIĀLI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kokmateriāliem vai koka izstrādājumiem, ko piegādā saskaņā ar līgumu, jābūt likumīgi iegūtiem atbilstīgi Eiropas Parlamenta un Padomes 2010. gada 20. oktobra Regulai (ES) Nr. 995/2010, ar ko nosaka pienākumus tirgus dalībniekiem, kas laiž tirgū kokmateriālus un koka izstrādājumus (Regula (ES) Nr. 995/2010).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Šī tehniskā specifikācija jāskata kombinācijā ar līguma izpildes noteikumiem.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G13. OBJEKTA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Atkritumi, kas rodas būvdarbos un atjaunošanas darbos, izņemot nojaukšanas atkritumus, nepārsniedz 11 t uz 100 m</w:t>
            </w:r>
            <w:r w:rsidR="00000000" w:rsidRPr="00000000" w:rsidDel="00000000">
              <w:rPr>
                <w:vertAlign w:val="superscript"/>
                <w:rtl w:val="0"/>
              </w:rPr>
              <w:t xml:space="preserve">2</w:t>
            </w:r>
            <w:r w:rsidR="00000000" w:rsidRPr="00000000" w:rsidDel="00000000">
              <w:rPr>
                <w:rtl w:val="0"/>
              </w:rPr>
              <w:t xml:space="preserve"> no biroja iekštelpu bruto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G14. IZBŪVES UN APDARES MATERIĀLU IZVĒLE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biroju izbūvei un apdarei izvēlētie materiāli atbilst tabulā norādītajiem emisiju limitiem. Šī prasība attiecas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griestu plātnēm;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krāsām un lakām;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grīdas un sienu tekstilsegumiem;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laminātu un elastīgo grīdas segumu;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koka grīdas segumu.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testēšana jāveic gatavam produktam.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 tabula</w:t>
            </w:r>
            <w:r w:rsidR="00000000" w:rsidRPr="00000000" w:rsidDel="00000000">
              <w:rPr>
                <w:rtl w:val="0"/>
              </w:rPr>
              <w:t xml:space="preserve">. Materiālu un apdares materiālu emisiju limiti.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76"/>
              <w:gridCol w:w="3485"/>
              <w:gridCol w:w="3485"/>
              <w:tblGridChange w:id="0">
                <w:tblGrid>
                  <w:gridCol w:w="5976"/>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Ražojums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Emisiju limiti (μg/m3)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kopējie gaistošie organiskie savienojumi (</w:t>
                  </w:r>
                  <w:r w:rsidR="00000000" w:rsidRPr="00000000" w:rsidDel="00000000">
                    <w:rPr>
                      <w:i w:val="1"/>
                      <w:rtl w:val="0"/>
                    </w:rPr>
                    <w:t xml:space="preserve">total volatile organic compounds</w:t>
                  </w:r>
                  <w:r w:rsidR="00000000" w:rsidRPr="00000000" w:rsidDel="00000000">
                    <w:rPr>
                      <w:rtl w:val="0"/>
                    </w:rPr>
                    <w:t xml:space="preserve">, TVOC)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G15. APSILDES SISTĒMAS, TOSTARP KOĢENERĀCIJA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apsildes sistēmas (tostarp tādas, kuras apgādā koģenerācijas iekārtas), kas piegādā siltumenerģiju biroja ēkas siltumenerģijas sadales sistēmām, kurās tiek izmantots ūdens vai gaiss, atbilst attiecīgajiem ZPI pamatkritērijiem, kas apliecina katras tehnoloģijas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Ūdenssildītāji, t.sk. sildkatli un siltumsūkņi, ar siltuma jaudu līdz 400 kW, un koģenerācijas iekārtas, kuru elektroenerģijas ražošanas jauda nepārsniedz 50 kWe: atbilst 1. un 2. kritērijam tehniskajā specifikācijā (skat. ZPI kritērijus ūdens sildītājiem).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Koģenerācijas iekārtas, kuru galvenā dzinēja elektroenerģijas ražošanas jauda pārsniedz 50 kWe: atbilst 1. un 2. tehniskajai specifikācijai, kas paredz minimālo gada kopējo efektivitāti 75 procenti un nosaka prasības "augsti efektīvai" koģenerācijai (skat. ZPI kritērijus koģenerācijas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G16. PABEIGTAS ĒKAS NOROBEŽOJOŠO KONSTRUKCIJU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norobežojošās konstrukcijas un to uzbūvi projektē tā, lai nodrošinātu augstu gaisnecaurlaidības standartu. Rādītāji atkarīgi no attiecīgās ēkas ventilēšanas paņēmiena: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dabīgo ventilāciju (vēdināšanu) − q50 ≤ 3 m3/(m2 × 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mehānisko ventilācijas sistēmu − q50 ≤ 2 m3/(m2 × 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ēkām ar mehānisko ventilācijas sistēmu, kas aprīkota ar siltuma atguves (gaisa rekuperācijas) ierīcēm − q50≤ 1,5 m3/(m2 × 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G17. BŪVDARBU VADĪTĀJA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vadītājam ir pieredze norādītajās jomās, par kuru tas atbilstoši līgumam būs atbildīgs (izvēlēties attiecīgo konkrētam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būvdarbos jaunbūvju un/vai ēku atjaunošanas projektos </w:t>
            </w:r>
            <w:r w:rsidR="00000000" w:rsidRPr="00000000" w:rsidDel="00000000">
              <w:rPr>
                <w:i w:val="1"/>
                <w:rtl w:val="0"/>
              </w:rPr>
              <w:t xml:space="preserve">(atzīmēt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energopatēriņu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(BEMS) vai ekvivalentā sistēmas uzstādīšanā, ēkas apsaimniekotāju informēšanā par to, kā tās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sistēmu uzstādīšanā, tostarp dati </w:t>
            </w:r>
            <w:r w:rsidR="00000000" w:rsidRPr="00000000" w:rsidDel="00000000">
              <w:rPr>
                <w:i w:val="1"/>
                <w:rtl w:val="0"/>
              </w:rPr>
              <w:t xml:space="preserve">(ja pieejami)</w:t>
            </w:r>
            <w:r w:rsidR="00000000" w:rsidRPr="00000000" w:rsidDel="00000000">
              <w:rPr>
                <w:rtl w:val="0"/>
              </w:rPr>
              <w:t xml:space="preserve"> 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pieredze vidi maz ietekmējošu būvmateriālu iepirkšanā, montāžā un verifikācijā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pieredze nojaukšanas un būvlaukuma atkritumu apsaimniekošanas plānu sekmīgā īstenošanā, maksimāli samazinot atkritumu apjomu, t.sk. arī zināšanas un pieredze nodrošinot atkritumu apstrādes iespējas ārpus būvlaukuma.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G18. SPECIALIZĒTO BŪVDARBU VADĪTĀJU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 attiecināms uz specifisku būvprojekta daļu, piemēram, arhitektūras, ūdensapgādes un kanalizācijas, elektroapgādes, apkures, ventilācijas, kondicionēšanas, vājstrāvu, vadības automatizācijas sistēmu, u.c. būvdarbu vadītāju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daļu būvdarbu vadītājs ir zinošs un tam ir pieredze norādītajās jomās, par kuru tas atbilstoši līgumam būs atbildīgs </w:t>
            </w:r>
            <w:r w:rsidR="00000000" w:rsidRPr="00000000" w:rsidDel="00000000">
              <w:rPr>
                <w:i w:val="1"/>
                <w:rtl w:val="0"/>
              </w:rPr>
              <w:t xml:space="preserve"> (izvēlēties attiecīgo konkrētam līgumam)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būvdarbu vadīšanā jaunbūvju un/vai ēku atjaunošanas projektos </w:t>
            </w:r>
            <w:r w:rsidR="00000000" w:rsidRPr="00000000" w:rsidDel="00000000">
              <w:rPr>
                <w:i w:val="1"/>
                <w:rtl w:val="0"/>
              </w:rPr>
              <w:t xml:space="preserve"> (atzīmēt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energoefektivitāti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(Building Energy Monitoring Systems, BEMS) vai ekvivalentā sistēmas uzstādīšanā, ēkas apsaimniekotāju informēšanā par to ekspluatāciju un izmantošanu, lai konstatētu, kāds ir ēkas energopatēriņa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ietaišu izbūvē, tostarp dati </w:t>
            </w:r>
            <w:r w:rsidR="00000000" w:rsidRPr="00000000" w:rsidDel="00000000">
              <w:rPr>
                <w:i w:val="1"/>
                <w:rtl w:val="0"/>
              </w:rPr>
              <w:t xml:space="preserve">(ja pieejami)</w:t>
            </w:r>
            <w:r w:rsidR="00000000" w:rsidRPr="00000000" w:rsidDel="00000000">
              <w:rPr>
                <w:rtl w:val="0"/>
              </w:rPr>
              <w:t xml:space="preserve"> 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G19. ARHITEKTA/ PROJEKTĒTĀJA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Arhitekts/projektētājs ir zinošs un tam ir pieredze norādītajās jomās, par kurām tas atbilstoši līgumam būs atbildīgs (izvēlēties attiecīgo konkrētam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paaugstinātas energoefektivitātes ēku projektēšanā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tādu būvdarbu līgumu projektēšanās vadībā, kas ir atbilduši klientu izvirzītajām ekoloģisko raksturlielumu prasībām vai tās pārsnieguši;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vides tehnoloģiju un konstruktīvu inovāciju realizācijas veiksmīgā identificēšanā un realizācijas vadībā, kas nepieciešama ekoloģisko raksturlielumu un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iesaiste vides tehnoloģiju un konstruktīvu inovāciju finansiālajā novērtējumā projektu realizācijas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G20. BŪVPROJEKTA DAĻU VADĪTĀJU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Attiecināms uz atsevišķu būvprojekta daļu, piemēram, arhitektūras, ūdensapgādes un kanalizācijas, elektroapgādes, apkures, ventilācijas, kondicionēšanas, vājstrāvu, vadības automatizācijas sistēmu, u.c.daļu projektēšanas vadītāju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daļu vadītājs ir zinošs un tam ir pieredze norādītajās jomās, par kuru tas atbilstoši līgumam būs atbildīgs (izvēlēties attiecīgo konkrētam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pieredze energoefektīvu ēkas norobežojošo konstrukciju un ietaišu projektēšanā jaunbūvju un/vai ēku atjaunošanas projektos </w:t>
            </w:r>
            <w:r w:rsidR="00000000" w:rsidRPr="00000000" w:rsidDel="00000000">
              <w:rPr>
                <w:i w:val="1"/>
                <w:rtl w:val="0"/>
              </w:rPr>
              <w:t xml:space="preserve">(atzīmēt atbilstošo)</w:t>
            </w:r>
            <w:r w:rsidR="00000000" w:rsidRPr="00000000" w:rsidDel="00000000">
              <w:rPr>
                <w:rtl w:val="0"/>
              </w:rPr>
              <w:t xml:space="preserve">, tostarp dati </w:t>
            </w:r>
            <w:r w:rsidR="00000000" w:rsidRPr="00000000" w:rsidDel="00000000">
              <w:rPr>
                <w:i w:val="1"/>
                <w:rtl w:val="0"/>
              </w:rPr>
              <w:t xml:space="preserve">(ja pieejami)</w:t>
            </w:r>
            <w:r w:rsidR="00000000" w:rsidRPr="00000000" w:rsidDel="00000000">
              <w:rPr>
                <w:rtl w:val="0"/>
              </w:rPr>
              <w:t xml:space="preserve"> par pabeigtu projektu izmērīto energoefektivitāti uz m2, kas ietver apsildi, dzesēšanu, apgaismojumu, ūdens uzsildīšanu un palīgaprīkojumu;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pieredze ēku energomonitoringa sistēmu (Building Energy Monitoring Systems, BEMS) vai ekvivalentā sistēmas uzstādīšanā, ēkas apsaimniekotāju informēšanā par to ekspluatāciju un izmantošanu, lai konstatētu, kāds ir ēkas energopatēriņa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pieredze ūdens patēriņa ziņā efektīvu ietaišu projektēšanā, tostarp dati </w:t>
            </w:r>
            <w:r w:rsidR="00000000" w:rsidRPr="00000000" w:rsidDel="00000000">
              <w:rPr>
                <w:i w:val="1"/>
                <w:rtl w:val="0"/>
              </w:rPr>
              <w:t xml:space="preserve">(ja pieejami)</w:t>
            </w:r>
            <w:r w:rsidR="00000000" w:rsidRPr="00000000" w:rsidDel="00000000">
              <w:rPr>
                <w:rtl w:val="0"/>
              </w:rPr>
              <w:t xml:space="preserve"> par pabeigtu projektu izmērīto ūdens patēriņu uz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pieredze vidi maz ietekmējošu būvmateriālu specifikāciju sastādīšanā,. </w:t>
            </w:r>
            <w:r w:rsidR="00000000" w:rsidRPr="00000000" w:rsidDel="00000000">
              <w:rPr>
                <w:i w:val="1"/>
                <w:rtl w:val="0"/>
              </w:rPr>
              <w:t xml:space="preserve">Ir jāiekļauj atsauce uz produktu vides deklarāciju (PVD) saskaņā ar piemērojamiem standartiem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pieredze darbinieku pārvietošanās plānu izstrādē un/vai īstenošanā, tostarp mazemisiju transportlīdzekļiem un velosipēdiem paredzēta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G21. ĒKAS APRITES CIKLA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 šajā kritērijā var tikt piešķirti, ja piedāvājuma izvērtēšanas kritērijs tiek attiecināts.. Ēkas prognozētās energoefektivitātes globālās sasilšanas potenciālu (GSP) aprēķina izmantotā aprites cikla griezumā. Punktus piešķir pretendentam ar zemāko kopējo GSP.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G22. ĒKAS GALVENO ELEMENTU EFEKTIVITĀTE: PRODUKTU VIDES DEKLARĀCIJU (PVD) APKOPOJUMS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procedūras dokumentācijā norāda, kura no tālāk norādītajām trīs metodēm tiek izmantota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Vienkāršotais variants: tiek sakopoti par katru ēkas elementu iegūtie rezultāti attiecībā uz GSP rādītāju, un to norāda kā CO</w:t>
            </w:r>
            <w:r w:rsidR="00000000" w:rsidRPr="00000000" w:rsidDel="00000000">
              <w:rPr>
                <w:vertAlign w:val="subscript"/>
                <w:rtl w:val="0"/>
              </w:rPr>
              <w:t xml:space="preserve">2</w:t>
            </w:r>
            <w:r w:rsidR="00000000" w:rsidRPr="00000000" w:rsidDel="00000000">
              <w:rPr>
                <w:rtl w:val="0"/>
              </w:rPr>
              <w:t xml:space="preserve"> emisijas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Rādītāja rezultātu variants: tiek sakopoti par katru ēkas elementu iegūtie PVD raksturlielumu rezultāti (ACN rezultāti attiecībā uz dažādiem rādītājiem );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Atzīmju vai klašu variants: tiek sakopoti par katru ēkas elementu iegūtās svērtās PVD atzīmes vai klases (parasti atzīme ir izteikta ar skaitli, bet klasi apzīmē ar burtu).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Salīdzināšanas pamatu un izmantojamo variantu precīzi norāda iepirkuma procedūras dokumentācijā. Vērtējamie ēkas elementi - 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 tabula</w:t>
            </w:r>
            <w:r w:rsidR="00000000" w:rsidRPr="00000000" w:rsidDel="00000000">
              <w:rPr>
                <w:rtl w:val="0"/>
              </w:rPr>
              <w:t xml:space="preserve">. Vērtējamie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8"/>
              <w:gridCol w:w="4922"/>
              <w:tblGridChange w:id="0">
                <w:tblGrid>
                  <w:gridCol w:w="4538"/>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Ārsienas, apšuvums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Ārsienas, apšuvums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1.variants: Pasūtītājs piešķir punktus, pamatojoties uz A tabulā norādīto galveno ēkas elementu aprites cikla efektivitātes uzlabojumu salīdzinājumā ar references (būvprojekta) tāmi. Vērtēšanā izmanto Produktu vides deklarāciju.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2.variants: Efektivitāti vērtē, izmantojot PVD, kas 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procedūras dokumentācijā norāda produktu kategorizēšanas noteikumus (PKN, </w:t>
            </w:r>
            <w:r w:rsidR="00000000" w:rsidRPr="00000000" w:rsidDel="00000000">
              <w:rPr>
                <w:i w:val="1"/>
                <w:rtl w:val="0"/>
              </w:rPr>
              <w:t xml:space="preserve">skat. tālāk piezīmi</w:t>
            </w:r>
            <w:r w:rsidR="00000000" w:rsidRPr="00000000" w:rsidDel="00000000">
              <w:rPr>
                <w:rtl w:val="0"/>
              </w:rPr>
              <w:t xml:space="preserve">), ko piemēro attiecībā uz PVD, un visi pretendenti konsolidē uz PKN pamata sagatavotās PVD saskaņā ar piemērojamiem standartiem. Tiek izmantoti tikai trešo pušu verificēti PKN. Te ietilpst arī izejas datu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3.variants: Vērtējot ēkas elementus nolūkā piešķirt atzīmi vai klasi, ir pieļaujams izmantot normalizēšanu un izsvarošanu, ar nosacījumu, ka ir ieviesti nacionālie PKN, kas ir būvatļauju vai ēku novērtēšanas un sertificēšanas shēmu pamatā.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pirms būvdarbu veicēja izraudzīšanās jau ir veikta analīze, izmantojot PVD, tad projektētāji pasūtītājam iesniedz kopsavilkumu ar galvenajiem izmantotajiem tehniskajiem pieņēmumiem, lai tos varētu ietvert iepirkuma procedūras dokumentācijā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Produktu kategorizēšanas noteikumi ir jāievēro katras PVD sagatavošanā shēmas ietvaros. Tie nosaka, kā jāveic ACN un kā jāverificē katrs produkts, lai nodrošinātu saskanību.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G23. ATKĀRTOTI PĀRSTRĀDĀTA MATERIĀLA IZMANTOŠANA BETONĀ UN MŪRĪ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kritēriju izmanto, ja visiem pretendentiem ir jāpiedāvā betona un mūra konstrukcijas risinājums. Šis kritērijs attiecas uz biroja ēkām ar betona nesošajām konstrukcijām, bloku sienām un pildrežģa un mūra iekšējām sienām un ārsienām.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piešķir punktus pretendentiem, kas ir panākuši, ka atkārtoti pārstrādātais saturs/blakusproduktu saturs B tabulā norādītajos ēkas galvenajos elementos ir vismaz 15 procenti (pēc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 noteikt augstākas prasības par minimālo saturu, ja pirms būvdarbu veicēja izraudzīšanās ir panākta vienošanās ar projektētājiem.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B tabula</w:t>
            </w:r>
            <w:r w:rsidR="00000000" w:rsidRPr="00000000" w:rsidDel="00000000">
              <w:rPr>
                <w:rtl w:val="0"/>
              </w:rPr>
              <w:t xml:space="preserve">. Ietveramie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8"/>
              <w:gridCol w:w="4922"/>
              <w:tblGridChange w:id="0">
                <w:tblGrid>
                  <w:gridCol w:w="4538"/>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pārstrādāto saturu aprēķina, pamatojoties uz atkārtoti pārstrādāto materiālu un/vai blakusproduktu vidējo masas bilanci atkarībā no tā, kā tos ražo un piegādā uz būvlaukumu (attiecīgā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katra gatavā maisījuma betona partija, no kuras betonu piegādā būvlaukumā —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rūpnieciski ražoti paneļi, balsti, bloki un elementi ar norādītu saturu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G24. EFEKTIVITĀTES PRASĪBAS ATTIECĪBĀ UZ CO2 EKVIVALENTĀM EMISIJĀM, KAS RODAS PILDVIELU TRANSPORTĒŠANĀ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proporcionāli CO</w:t>
            </w:r>
            <w:r w:rsidR="00000000" w:rsidRPr="00000000" w:rsidDel="00000000">
              <w:rPr>
                <w:vertAlign w:val="subscript"/>
                <w:rtl w:val="0"/>
              </w:rPr>
              <w:t xml:space="preserve">2</w:t>
            </w:r>
            <w:r w:rsidR="00000000" w:rsidRPr="00000000" w:rsidDel="00000000">
              <w:rPr>
                <w:rtl w:val="0"/>
              </w:rPr>
              <w:t xml:space="preserve"> ekvivalentu (CO</w:t>
            </w:r>
            <w:r w:rsidR="00000000" w:rsidRPr="00000000" w:rsidDel="00000000">
              <w:rPr>
                <w:vertAlign w:val="subscript"/>
                <w:rtl w:val="0"/>
              </w:rPr>
              <w:t xml:space="preserve">2</w:t>
            </w:r>
            <w:r w:rsidR="00000000" w:rsidRPr="00000000" w:rsidDel="00000000">
              <w:rPr>
                <w:rtl w:val="0"/>
              </w:rPr>
              <w:t xml:space="preserve">e) emisiju samazinājumam uz tonnu pildvielu, ko izmanto E tabulā uzskaitīto ēkas galveno elementu ražošanā. Iepirkuma procedūras dokumentācijā norāda transportēšanā radušos CO</w:t>
            </w:r>
            <w:r w:rsidR="00000000" w:rsidRPr="00000000" w:rsidDel="00000000">
              <w:rPr>
                <w:vertAlign w:val="subscript"/>
                <w:rtl w:val="0"/>
              </w:rPr>
              <w:t xml:space="preserve">2</w:t>
            </w:r>
            <w:r w:rsidR="00000000" w:rsidRPr="00000000" w:rsidDel="00000000">
              <w:rPr>
                <w:rtl w:val="0"/>
              </w:rPr>
              <w:t xml:space="preserve"> emisiju aprēķināšanas metodi un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pamatojoties uz projektētāju sniegto informāciju, varētu noteikt mērķrādītāju: maksimālās CO</w:t>
            </w:r>
            <w:r w:rsidR="00000000" w:rsidRPr="00000000" w:rsidDel="00000000">
              <w:rPr>
                <w:vertAlign w:val="subscript"/>
                <w:rtl w:val="0"/>
              </w:rPr>
              <w:t xml:space="preserve">2</w:t>
            </w:r>
            <w:r w:rsidR="00000000" w:rsidRPr="00000000" w:rsidDel="00000000">
              <w:rPr>
                <w:rtl w:val="0"/>
              </w:rPr>
              <w:t xml:space="preserve">e emisijas uz tonnu transportēto pildvielu. Šādu mērķrādītāju kopā ar to pamatā esošajiem pieņēmumiem un noteikumiem ietver būvdarbu ieprikumu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C tabula</w:t>
            </w:r>
            <w:r w:rsidR="00000000" w:rsidRPr="00000000" w:rsidDel="00000000">
              <w:rPr>
                <w:rtl w:val="0"/>
              </w:rPr>
              <w:t xml:space="preserve">. Ietveramie ēkas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59"/>
              <w:gridCol w:w="5401"/>
              <w:tblGridChange w:id="0">
                <w:tblGrid>
                  <w:gridCol w:w="4059"/>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konstrukcija, tostarp sijas, balsti un pārsegumi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Grīdas un griesti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Pamati un apakšbūves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sienas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jumta segums un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paredzēti papildu stāvi vai ēkas paplašināšana, kuru apjoms ir &gt;25 procenti no esošās izmantojamās platības, piemēro arī jaunbūvju elementu sarakstu.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G25. MAZOGLEKĻA UN BEZOGLEKĻA NULLES ENERGOAVOTU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 tiek piešķirti pretendentam, kurš nodrošina iespēju pieslēgties augstas efektivitātes un izmaksu ziņā ekonomiskām alternatīvās enerģijas sistēmām, un sniedz apkopes pakalpojumus. </w:t>
            </w:r>
            <w:r w:rsidR="00000000" w:rsidRPr="00000000" w:rsidDel="00000000">
              <w:rPr>
                <w:i w:val="1"/>
                <w:rtl w:val="0"/>
              </w:rPr>
              <w:t xml:space="preserve">Tiek izmantots kopā ar attiecīgās tehniskās specifikācijas kritēriju.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G26. ĒKAS PERSONĀLA PĀRVIETOŠANĀS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personāla pārvietošanās plānu izstrādā, konsultējoties ar pasūtītāju, atbildīgo plānošanas iestādi un attiecīgajiem infrastruktūras nodrošinātājiem. Plānā tiek identificēti konkrēti pasākumi, kas, ņemot vērā vietējos apstākļus, var samazināt nepieciešamību pēc došanās uz ēku ar personīgo automobili un veicināt ilgtspējīgāku transporta veidu — tostarp riteņbraukšanas un kājāmiešanas, sabiedriskā transporta, mazemisiju transportlīdzekļu un automobiļu koplietošanas —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G27. ATKĀRTOTI IZMANTOJAMU VAI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teritorijas(-u) lielumu nosaka pēc iespējamā noslogotības līmeņa, lai izvietotu pietiekamu skaitu konteineru, tā maksimāli palielinot otrreizēju pārstrādi un vienlaikus varētu nodrošināt atkritumu atlikuma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G28. DIENASGAISMA UN APŽILBINĀJUMA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Apzina vietas ēkā, kur var rasties apžilbinājums, kā arī nosaka kontroles pasākumus, lai šajās vietās ierobežotu tiešu vai netiešu apžilbinājumu.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G29. GLOBĀLĀS SASILŠANAS POTENCIĀLA (GSP) APRĒĶINA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ietvaros nepieciešams veikt ēkas prognozētās energoefektivitātes globālās sasilšanas potenciālu (GSP) risinājumu alternatīvu izvērtēšanu aprites cikla griezumā.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G30. BŪVGRUŽU (TAI SKAITĀ DEMONTĒŠANAS) ŠĶIROŠANA UN NODOŠANA SPECIĀLOS POLIGONOS Būvuzņēmējs izstrādā pirmsnojaukšanas/ pirmsdemontēšanas auditu, lai noteiktu, kādus materiālus var izmantot atkārtoti, reciklēt vai atgūt,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tādu bīstamo atkritumu (tostarp elektrisko un elektronisko iekārtu atkritumu (EEIA)) identificēšana un riska novērtēšana, kam var būt nepieciešama specializēta apiešanās un apstrāde, vai nojaukšanas laikā iespējami radušos emisiju identifikācija un riska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tāme, kurā atsevišķi uzskaitīti dažādi būvmateriāli un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aplēse par būvgružu atkārtotas izmantošanas un pārstrādes potenciālu procentos, pamatojoties uz to, kādas dalītas vākšanas sistēmas ierosināts izmantot nojaukšanas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Identificētos materiālus, produktus un elementus uzskaita nojaukšanas darbu tāmē.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G31. ĒKAS ENERGOSISTĒMU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sistēmas tiek projektētas, uzstādītas un nodotas ekspluatācijā, ievērojot saskaņotos projektus un specifikācijas: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apsilde, ventilācija un gaisa kondicionēšana (AVGK);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mazoglekļa un bezoglekļa energotehnoloģijas;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ēkas energovadības sistēma (BEMS);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veic katras sistēmas funkcionālās veiktspējas testu, tostarp veiktspējas mērījumus. AVGK sistēmām jāatbilst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G32. OBJEKTA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darbu uzsākšanas objektā Būvuzņēmējs sagatavo atkritumu apsaimniekošanas plānu. Plānā norāda, kādas dalītās vākšanas sistēmas objektā izmantos, lai sašķirotu materiālus atkārtotai izmantošanai, pārstrādei un citiem materiālu atgūšanas veidiem. Objekta atkritumu apsaimniekošanas plāns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būvizstrādājumus, kas veido galvenos ēkas elementus, tostarp kokmateriālus, stikla, metāla, ķieģeļu, keramikas, betona un inertos atkritumus, kā arī saistītos iepakojuma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būvizstrādājumus, kas ir daļa no ēkas izbūves, tostarp grīdas segumus, griestu plātnes, sausā apmetuma un ģipša paneļus, plastmasas profilus un izolācijas materiālus, kā arī saistītos iepakojuma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dalītā vākšana atkārtotai izmantošanai, pārstrādei un atgūšanai notiek atbilstoši atkritumu hierarhijai, kas noteikta Ministru kabineta 2013.gada 2.aprīļa noteikumos Nr. 184 "Noteikumi par atkritumu dalītu savākšanu, sagatavošanu atkārtotai izmantošanai, pārstrādi un materiālu reģenerāciju."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Objektā notiekošo būvdarbu laikā seko līdzi tam un ziņo par to, kā tiek realizēts apstiprinātais atkritumu apsaimniekošanas plāns. Tas ietver datus, kas attiecas uz to materiālu masu, kas objektā savākti dalītajā vākšanā ar mērķi tos atkārtoti izmantot un pārstrādāt tehniskajās specifikācijās norādītajā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izmantota sistēma, kā monitorē un kvantificē radušos atkritumus un materiālus, kas nodalīti atkārtotai izmantošanai un pārstrādei. Tāpat sistēmā var sekot līdzi un verificēt, kur nonāk atkritumu sūtījumi. Monitoringa un izsekošanas datus iesniedz līgumslēdzējai iestādei norunātā biežumā.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G33. ATKĀRTOTI PĀRSTRĀDĀTA SATURA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materiālus pasūta un nogādā būvlaukumā atsevišķās partijā, atkārtoti pārstrādātā satura atbilstību iepirkuma piedāvājumā norādītajam pārbauda katrai produkta partijai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atbilstību pārbauda, ievācot informāciju no izmantoto būvizstrādājumu piegādātāja (-iem), t.sk. veicotmasas bilances aprēķinus, kurus apstiprina partijas testēšanas rezultāti, piegādes dokumentācija un/vai rūpnīcas ražošanas kontroles dokumentācija. Katra dokumenta datus verificē trešās puses veiktā auditā.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w:t>
            </w:r>
            <w:r w:rsidR="00000000" w:rsidRPr="00000000" w:rsidDel="00000000">
              <w:rPr>
                <w:i w:val="1"/>
                <w:rtl w:val="0"/>
              </w:rPr>
              <w:t xml:space="preserve">"partija" ir vienoti marķētu tādu produktu daudzums, ko ražo vienā un tajā pašā maisāmajā iekārtā vienādos apstākļos saskaņā ar noteiktu maisījuma projektu un izmantojot tās pašas izejvielas.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G34. KOKMATERIĀLU LIKUMĪGA IEGŪŠANA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iespējams, ieteicams veikt izlases veida pārbaudes sadarbībā ar kompetento iestādi, kas atbildīga par Eiropas Parlamenta un Padomes 2010. gada 20. oktobra Regulas (ES) Nr. 995/2010, ar ko nosaka pienākumus tirgus dalībniekiem, kas laiž tirgū kokmateriālus un koka izstrādājumus, īstenošanu.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ir tiesīgs izlases veidā pārbaudīt, vai saskaņā ar līgumu izmantotie koka izstrādājumi (visi vai to konkrēta apakšgrupa) atbilst D1 tehniskajai specifikācijai. Pēc pieprasījuma darbuzņēmējs sniedz pierādījumus, kas apliecina atbilstību Eiropas Parlamenta un Padomes 2010. gada 20. oktobra Regulai (ES) Nr. 995/2010, ar ko nosaka pienākumus tirgus dalībniekiem, kas laiž tirgū kokmateriālus un koka izstrādājumus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Vairumā gadījumu, ja būvdarbu veicējs nav uzņēmums, kas pirmais laiž kokmateriālus vai koka izstrādājumus ES tirgū, bet iegūst šādus produktus no citiem (Regulā (ES) Nr. 995/2010 definēts kā "tirgotājs"), būvdarbu veicējs par kokmateriāliem vai koka izstrādājumiem sniedz šādu informāciju, ko pēc tam verificē izlases veida pārbaudēs: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tirgus dalībnieki vai tirgotāji, kas piegādājuši kokmateriālus un koka izstrādājumus to izmantošanai ēkas būvniecībā;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dokumenti vai cita informācija, kas apliecina šo koka izstrādājumu atbilstību spēkā esošiem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pierādījumi par risku novērtēšanu un īstenotajām risku mazināšanas procedūrām saskaņā ar Regulas (ES) Nr. 995/2010 6. panta 1. punkta b) un c)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būvdarbu veicējs kokmateriālus vai koka izstrādājumus pirmais laiž ES tirgū to izmantošanai būvniecības projektā (Regulā (ES) Nr. 995/2010 definēts kā "tirgus dalībnieks"), pretendents par kokmateriāliem vai koka izstrādājumiem sniedz šādu informāciju, ko pēc tam pārbauda izlases veida pārbaudēs: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katra izmantoto kokmateriālu veida apraksts, tostarp tirdzniecības nosaukums, izstrādājuma veids, koka sugas vispārpieņemtais nosaukums – attiecīgā gadījumā – pilns zinātniskais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kokmateriālu un koka izstrādājumu piegādātāja nosaukums/vārds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ieguves valsts un – vajadzības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attiecīgās valsts reģions, kur kokmateriāli 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ieguves koncesija;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daudzums (apjoms, svars vai vienību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dokumenti vai cita informācija, kas apliecina šo koka izstrādājumu atbilstību spēkā esošiem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pierādījumi par risku novērtēšanu un īstenotajām risku mazināšanas procedūrām saskaņā ar Eiropas Parlamenta un Padomes 2010. gada 20. oktobra Regulu (ES) Nr. 995/2010, ar ko nosaka pienākumus tirgus dalībniekiem, kas laiž tirgū kokmateriālus un koka izstrādājumus 6. panta 1. punkta b) un c) apakšpunktu. Tie var ietvert sertifikāciju vai citas trešo pušu verificētas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Kokmateriāli, kam ir derīgas ES FLEGT vai CITES licences, ir uzskatāmi par likumīgi iegūtiem saskaņā ar Eiropas Parlamenta un Padomes 2010. gada 20. oktobra Regulu (ES) Nr. 995/2010, ar ko nosaka pienākumus tirgus dalībniekiem, kas laiž tirgū kokmateriālus un koka izstrādājumus.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G35. PABEIGTAS ĒKAS NOROBEŽOJOŠO KONSTRUKCIJU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Pabeidzot būvniecību, būvdarbu veicējs testē pabeigtas ēkas norobežojošo konstrukciju un to uzbūves kvalitāti saskaņā ar piemērojamiem standartiem, lai nodrošinātu, ka ir sasniegta projektētā veiktspēja.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testē pabeigtas ēkas norobežojošo konstrukciju un tās uzbūves kvalitāti, lai nodrošinātu atbilstību projektā noteiktajai gaiscaurlaidības specifikācijai. Ja konstatē defektus, tiek ierosināts, kā tos novērst.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mehāniskās ventilācijas metodi testē vismaz 20 procentus no ēkas izmantojamās iekštelpu platības, pierādot, ka projektētā gaiscaurlaidība atbilst attiecīgās ēkas ventilēšanas paņēmienam.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Testēšanu veic saskaņā ar piemērojamiem standartiem, kurus akceptē attiecīgā būvuzraudzības iestāde ēkas atrašanās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Testēšanu veic pēc būvniecības praktiskas pabeigšanas. Pēc tam, kad ir veikta testēšana saskaņā ar piemērojamiem standartiem, darbuzņēmējs iesniedz apsekojuma ziņojuma vai sertifikāta kopiju, kas apliecina, ka ēka atbilst gaiscaurlaidības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G36. APGAISMOJUMA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Skatīt noteikumu 1.pielikuma 6.3. sadaļu "ZPI kritēriji iekštelpu apgaismojuma uzstādīšanai"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tiek nodotas ekspluatācijā saskaņā ar 1. pielikuma 6.3. sadaļā iekļauto līguma izpildes 1. noteikumu. Būvdarbu veicējs nodrošina sistēmu ekspluatācijas norādījumus saskaņā ar 6.3.sadaļas tehniskās specifikācijas 1. prasību.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lietotājiem un (ja attiecināms) nozīmētajam apsaimniekotājam nodrošina apmācību par sistēmu izmantošanu, t.sk. arī saskarni ar BEMS (F2.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 vai projektēšanas un būvdarbu veicējs iesniedz apsekošanas ziņojuma kopiju vai sertifikātu, kas apliecina, ka ir veikta apgaismes sistēmu testēšana, un satur datus, kas pierāda, ka sistēmas darbojas, nepārsniedzot projektētos parametrus. Tāpat tie apstiprina, ka ir nodrošināti nepieciešamie materiāli un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G37. ĒKAS ENERGOVADĪBAS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energovadības sistēmu (BEMS) vai ekvivalentu sistēmu nodod ekspluatācijā saskaņā ar noteiktajām tehniskajām specifikācijām. Būvdarbu veicējs nodrošina (EMS ekspluatācijas rokasgrāmatu. Ēkas lietotājiem un (ja attiecināms) nozīmētajam apsaimniekotājam nodrošina apmācību par BEMS vai ekvivalentas sistēmas izmantošanu, t.sk. lietotāja saskarnes izmantošanu, lai analizētu un lejupielādētu energodatus, izmantojot pieejamos programmatūras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iesniedz: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apsekojuma ziņojuma vai sertifikāta kopiju, kas apliecina, ka ir veikta BEMS vai ekvivalentas sistēmas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datus, kas pierāda, ka sistēmas darbojas atbilstoši projektētajiem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apstiprinājumu, ka ir nodrošināti nepieciešamie materiāli un apmācības.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G38. MAZOGLEKĻA UN BEZOGLEKĻA NULLES ENERGOAVOTU UZSTĀDĪŠANA UN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Mazoglekļa vai bezoglekļa energosistēmas ekspluatē saskaņā ar nepieciešamajām tehniskajām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Būvuzņēmējs iesniedz apsekošanas ziņojuma kopiju vai sertifikātu, kas apliecina, ka ir veikta energosistēmu testēšana, un satur datus, kas pierāda, ka sistēmas darbojas, nepārsniedzot projektētos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G39. ATKĀRTOTI IZMANTOJAMU UN PĀRSTRĀDĀJAMU ATKRITUMU UZGLABĀŠANA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Pabeidzot būvniecību, Būvuzņēmējs apstiprina, ka ēkā vai tai piegulošajā teritorijā atrodas īpaša glabātava, lai ēkas lietotājiem atvieglotu atkārtoti izmantojamiu un pārstrādājamu materiālu un nolietotu izstrādājumu nošķiršanu (atsaucoties uz B6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iesniedz izbūvēto pārstrādājamu materiālu savākšanas ietaišu detalizētus gala plānus.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Ceļu projektēšana, būvniecība un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ceļa būvniecības process vai uzturēšanas pasākumi sastāv no skaidrām un secīgām iepirkuma darbībām un attiecīgiem līgumiem. Atkarībā no izvēlētā iepirkuma procesa šādus līgumus var piešķirt vienam līgumslēdzējam vai līgumi tiek piešķirti atsevišķi. Daži līgumi var būt iestrādāti projekta un būvniecības (PB) vai projekta, būvniecības un ekspluatācijas (PBE) līgumā, kas var paredzēt, ka tehniskā projekta izstrādes procesu, būvniecības pamatlīgumu, uzturēšanas un ekspluatācijas līgumu koordinē viens darbuzņēmējs.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iedalīti 5 atsevišķās grupās atbilstoši šiem noteiktajiem iepirkuma procesa posmiem (A-E). Atkarībā no projekta vērienīguma un līgumslēdzējas iestādes pieredzes ne visi šajā prasību un kritēriju kopā ietvertie ZPI kritēriji būs piemērojami. Kopumā tomēr ZPI kritēriji ir vērsti uz ceļu kā sistēmu, nevis uz atsevišķiem ceļa elementiem. Jāatzīmē, ka atsevišķi ir pieejami ZPI kritēriji ielu apgaismojumam un satiksmes signāliem, ko var izmantot iepirkuma kontekstā saistībā ar ceļu.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ZPI prasības un kritēriji ceļu projektēšanai, būvniecībai un uzturēšanai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resursefektīvu ceļu būvniecība, kuru tehniskajā projektā ņemta vērā plašāka ietekme uz vidi, piemēram, troksnis, ūdens novade un transportlīdzekļu degvielas patēriņš lietošanas laikā,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Esošo ceļu uzturēšanas darbi vai nozīmīga atjaunošana resursefektīvā veidā, kurā ņemta vērā plašāka vides ietekme, piemēram, troksnis, ūdens novade un transportlīdzekļu degvielas patēriņš lietošanas laikā.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ZPI prasības un kritēriji sīkām būvprojekta tehniskajām un izpildes prasībām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ZEMAS TEMPERATŪRAS ASFALTS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Projektētājiem </w:t>
            </w:r>
            <w:r w:rsidR="00000000" w:rsidRPr="00000000" w:rsidDel="00000000">
              <w:rPr>
                <w:i w:val="1"/>
                <w:rtl w:val="0"/>
              </w:rPr>
              <w:t xml:space="preserve">vai</w:t>
            </w:r>
            <w:r w:rsidR="00000000" w:rsidRPr="00000000" w:rsidDel="00000000">
              <w:rPr>
                <w:rtl w:val="0"/>
              </w:rPr>
              <w:t xml:space="preserve"> PB piegādātājam, </w:t>
            </w:r>
            <w:r w:rsidR="00000000" w:rsidRPr="00000000" w:rsidDel="00000000">
              <w:rPr>
                <w:i w:val="1"/>
                <w:rtl w:val="0"/>
              </w:rPr>
              <w:t xml:space="preserve">vai</w:t>
            </w:r>
            <w:r w:rsidR="00000000" w:rsidRPr="00000000" w:rsidDel="00000000">
              <w:rPr>
                <w:rtl w:val="0"/>
              </w:rPr>
              <w:t xml:space="preserve"> PBE piegādātājam jāpiemēro vislabākā prakse un metodes bitumena maisījumu ieklāšanā, lai samazinātu asfalta ražošanas un ieklāšanas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Ieklāšanai paredzēto virsmas un saistkārtu bitumena maisījumu temperatūra nedrīkst pārsniegt 140 °C. Ieklāšanas temperatūra virs 140 °C, bet ne augstāka par 155 °C, ir pieļaujama tikai gadījumos, kad tiek izmantoti augstākas viskozitātes bitumena maisījumi.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IZRAKTO MATERIĀLU UN GRUNTS APSAIMNIEKOŠANAS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Rakšanas darbos radītie atkritumi, izņemot būvgružus un nojaukšanas atkritumus, ir jāprotokolē.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Jāsagatavo izrakto materiālu un grunts apsaimniekošanas plāns, izveidojot dalītās vākšanas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izraktajiem materiāliem, kas radušies rakšanas darbos, piemēram, no būvlaukuma sagatavošanas un līmeņošanas, pamatu, pagraba un tranšejas rakšanas, parasti grunts un akmeņi, arī augsnes apakškārtai,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augsnes virskārtai.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jāievieš gan izrakto materiālu, gan augsnes virskārtas atkārtotas izmantošanas slēgtā aprite būvlaukumā atbilstoši oglekļa pēdas (OP) vai aprites cikla novērtējuma (ACN) raksturlielumu izvērtējuma rezultātiem (skatīt B14 kritēriju). Izrakto materiālu dalītā vākšana atkārtotai izmantošanai, pārstrādāšanai un atgūšanai notiek atbilstoši atkritumu apsaimniekošanas hierarhijai, kas noteikta Ministru kabineta 2013.gada 2.aprīļa noteikumos Nr.184 "Noteikumi par atkritumu dalītu savākšanu, sagatavošanu atkārtotai izmantošanai, pārstrādi un materiālu reģenerāciju".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RAKSTURLIELUMU PRASĪBAS ŪDENS PIESĀRŅOJUMA KONTROLES KOMPONENTIEM ŪDENS NOVADES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noteku savienojumi nav īpaši noteikti vietējos noteikumos vai tie nav nepieciešami īpašu apstākļu dēļ.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ūdens novades sistēma nedrīkst būt pievienota maģistrālajām notekcaurulēm.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novades sistēmā jāietver ūdens novades komponenti, kas palīdz atdalīt no lietus ūdens nogulsnes un cietās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RAKSTURLIELUMU PRASĪBAS LIETUS ŪDENS AIZTURĒŠANAS KAPACITĀTEI ŪDENS NOVADES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Kad tas noteikts tiesību aktos vai kad tam ir īpaša nozīme konkrētajā vietā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novades sistēmu projektē tā, lai tā spētu: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A.4.1. savākt nokrišņu daudzumu, kas radies aprēķina lietusgāzē ar atkārtošanās periodu vienu reizi X gados un ilgumu Y minūtes noteiktā teritorijā, no kuras novada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A.4.2. ierobežot maksimālos noteces rādītājus no ūdens novades sistēmas, lai tie nepārsniegtu neskartas teritorijas rādītājus vai citu konkrētu vērtību, ko skaidri noteikusi līgumslēdzēja iestāde uzaicinājumā iesniegt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VIDES INTEGRĀCIJAS UN ATJAUNOŠANAS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kritēriju attiecina, kad ir stādīšanai piemērota zeme, un tas varētu ietvert ūdens novades dabiskās infrastruktūras apstādīšanu, piemēram, aizturēšanas ūdenstilpes, dīķus vai mākslīgos mitrājus.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integrācijas un atjaunošanas plāns jāiesniedz kā ceļa tehniskā projekta daļa, kurā ietverta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A.5.1. teritorijas karte, kurā norādīti visu augu sugu šķirņu veidi, atrašanās vieta un daudzums/blīvums (jāiekļauj tikai neinvazīvās un vietējās augu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A.5.2. augu sugu šķirņu atlases procedūras apraksts un īss pamatojums par katru šķirni, kāpēc tā ir piemērota teritorijas īpašajiem vides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A.5.3. prasības dobei; izmantotā augsne/komposts/augsnes substrāts un to dziļums, sākotnējā mēslošana, mulčas izmantošana, zāliena 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A.5.4. plānotie pasākumi, lai izvairītos no augsnes erozijas pirms un pēc augu segas izveides;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A.5.5. paredzamās prasības apzaļumoto teritoriju apsaimniekošanai. Ietverta apūdeņošana, zāles pļaušana, apcirpšana vai augu aizvietošana.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Plānam jābūt veidotam atbilstoši labas prakses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TROKŠŅA EMISIJAS MONITORINGS BŪVNIECĪBAS UN UZTURĒŠANAS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noteikts plānošanas atļaujā vai vietējos/nacionālajos tiesību aktos, vai to konkrēti pieprasījis pasūtītājs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 vai PB piegādātājs, vai PBE piegādātājs iesniedz sīkas ziņas par to, kā uzstādāma pagaidu (vai pastāvīgas, ja tas ir gala tehniskais projekts) trokšņa aizsargbarjeras, lai noteiktajā uztveres zonā samazinātu trokšņa līmeni līdz mazāk nekā X dB(A) ar vidējo L</w:t>
            </w:r>
            <w:r w:rsidR="00000000" w:rsidRPr="00000000" w:rsidDel="00000000">
              <w:rPr>
                <w:vertAlign w:val="subscript"/>
                <w:rtl w:val="0"/>
              </w:rPr>
              <w:t xml:space="preserve">dvn</w:t>
            </w:r>
            <w:r w:rsidR="00000000" w:rsidRPr="00000000" w:rsidDel="00000000">
              <w:rPr>
                <w:rtl w:val="0"/>
              </w:rPr>
              <w:t xml:space="preserve"> un līdz Y dB(A) ar vidējo L</w:t>
            </w:r>
            <w:r w:rsidR="00000000" w:rsidRPr="00000000" w:rsidDel="00000000">
              <w:rPr>
                <w:vertAlign w:val="subscript"/>
                <w:rtl w:val="0"/>
              </w:rPr>
              <w:t xml:space="preserve">nakts</w:t>
            </w:r>
            <w:r w:rsidR="00000000" w:rsidRPr="00000000" w:rsidDel="00000000">
              <w:rPr>
                <w:rtl w:val="0"/>
              </w:rPr>
              <w:t xml:space="preserve"> vērtību, kā tas noteikts Ministru kabineta 2014.gada 7.janvāra noteikumu Nr.16 "Trokšņa novērtēšanas un pārvaldības kārtība"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MINIMĀLĀS PRASĪBAS ZEMA TROKŠŅA SEGUMA TEHNISKAJAM PROJEKTAM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tas noteikts normatīvajā regulējumā, ka zems trokšņu līmenis ir uzskatāms par prioritāru šim ceļam.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 vai PB piegādātājs vai PBE piegādātājs apliecina, ka piedāvātais zema trokšņa segums atbilst šādiem CPX (metode mērīšanai virsmu tiešā tuvumā) trokšņa emisijas līmeņiem, kas saskaņā ar piemērojamiem standartiem noteikti kā ceļa posmā maksimālā atļautā ātruma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90 dB(A), ja ātrums ir 50 km/h, un/vai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95 dB(A), ja ātrums ir 70 km/h, un/vai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98 dB(A), ja ātrums ir 90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Tehniskajā projektā un pieņēmumos izmantotajiem testēšanas datiem jābūt iegūtiem, izmantojot: CPX testēšanas metodi, transportlīdzekļus un/vai treilerus, kuriem izmantota radiālā riepa ar tērauda jostu un izmēra kodu P225/60 R16 (ASTM F2493-14), ar protektoru ne mazāku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Testēšanas dati jākoriģē atbilstīgi 20 °C gaisa temperatūrai. Testēšanas datu nenoteiktības analīze jāizvērtē atbilstoši "Norādījumiem par nenoteiktības izteikšanu mērījumos" (ISO/IEC norādījumi Nr. 98-3:2008), un testēšanā jāuzrāda, ka rezultāti, arī to nenoteiktība, nepārsniedz iepriekš minētās vai tehniskajā projektā noteiktās (ja zemākas) vērtības vairāk par 1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PRASĪBAS CEĻA APGAISMOJUMA RAKSTURLIELUMIEM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Attiecībā uz šo kritēriju lūdzam skatīt ZPI kritērijus ielu apgaismojumam un satiksmes signāliem.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A9. PRASĪBAS CEĻA APZĪMĒJUMU RAKSTURLIELUMIEM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Attiecībā uz šo kritēriju, lūdzam skatīt ES ZPI kritērijus krāsām, lakām un ceļa apzīmējumiem. kas drīzumā tiks publicēti: Eiropas Komisijas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A10. SATIKSMES SASTRĒGUMU MAZINĀŠANAS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būvniecības un uzturēšanas pasākumos īstenojamais satiksmes sastrēgumu mazināšanas plāns jāiesniedz kopā ar ceļa tehnisko projektu, un tajā jāietver: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A.10.1. ceļa kalpošanas laikā paredzamo būvniecības un/vai uzturēšanas darbu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A.10.2. alternatīvi ceļi (ceļu remonta laikā) satiksmes novirzīšanai šādu darbību laikā, ja tas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projektētāji vai PB piegādātājs vai PBE piegādātājs aptver sastrēgumu risinājumus ceļa lietošanas posmā un jebkādas ceļa uzturēšanas darbības, kurās plānots izmantot maiņvirziena braukšanas joslas vai nostiprinātas apstāšanās nomales joslas vajadzībām, viņiem ir jāiesniedz ACI analīze, kurā iekļautas lietotājam radītās ārējās izmaksas sastrēguma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Ceļi, kur satiksmes pārvaldībai ir ieviesta ITS, ir jāaprīko ar nepieciešamajām ITS atbalsta ierīcēm: kamerām, luksoforiem, informācijas ekrāniem un dažādām ceļazīmēm.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 PRASĪBAS CEĻA SEGUMA ILGIZTURĪBAS RAKSTURLIELUMIEM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nosaka ceļa seguma minimālo kalpošanas laiku, neattiecinot to uz seguma virskārtu, bet tam nevajadzētu būt īsākam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A.11.1. 15 gadiem saistkārtai, ar iespēju to samazināt ne mazāk kā līdz desmit gadiem īpašu apstākļu gadījumā (piemēram, nelabvēlīgs klimats, kam jābūt precizētam uzaicinājumā iesniegt piedāvājumus;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A.11.2. 20 gadiem elastīgu/pusstingu segumu pamatkārtai un stingu segumu cementbetona plātnēm;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A.11.3. 40 gadiem pamata apakškārtai.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Papildus pasūtītājs var norādīt minimālo kalpošanas laiku seguma virskārtai, ja īpašie ceļa seguma apstākļi pieļauj sliekšņa noteikšanu.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 CEĻA UZTURĒŠANAS UN ATJAUNOŠANAS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A12.1.</w:t>
            </w:r>
            <w:r w:rsidR="00000000" w:rsidRPr="00000000" w:rsidDel="00000000">
              <w:rPr>
                <w:b w:val="1"/>
                <w:rtl w:val="0"/>
              </w:rPr>
              <w:t xml:space="preserve"> 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Šis variants attiecas uz PBE līgumiem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PBE piegādātājs ceļa uzturēšanas un atjaunošanas plānu pievieno detalizētam tehniskajam projektam. Katram ceļa posmam, kam raksturīgas īpašas būvniecības metodes, materiāli, vides apstākļi, meteoroloģiskie apstākļi un lietojums, plānā vismaz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A.12.1.1. jāaptver ikdienas, preventīvās un atjaunošanas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A.12.1.2. jāuzlabo uzturēšanas darbu izdevumu un ieguvumu attiecība;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A.12.1.3. jāuzrāda katras ikdienas, preventīvās un atjaunošanas darbības/stratēģijas ietekmes uz vidi raksturlielumi, kas ir iekļauti OP (attiecīgi saskaņā ar B14kritēriju);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A.12.1.4. jāiekļauj katras darbības izmaksas, paredzamie laika intervāli starp ceļa uzturēšanas pasākumiem, satiksmes sastrēgumu mazināšanas plāns (saskaņā ar B10 kritēriju) un būvniecības, demontāžas atkritumu apsaimniekošanas plāns (saskaņā ar E2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A.12.2. </w:t>
            </w:r>
            <w:r w:rsidR="00000000" w:rsidRPr="00000000" w:rsidDel="00000000">
              <w:rPr>
                <w:b w:val="1"/>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Šis variants attiecas uz atsevišķiem projektēšanas un būvdarbu līgumiem jeb PB līgumiem.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Projektētāji vai PB piegādātājs detalizētā tehniskajā projektā ietver vispārēju uzturēšanas un atjaunošanas plānu. Par katru ceļa posmu, kam raksturīgas īpašas būvniecības metodes, materiāli, vides apstākļi, meteoroloģiskie apstākļi un lietojums, vispārējā plānā jāiekļauj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A.12.2.1. ikdienas, preventīvo un atjaunošanas darbību ietekmes uz vidi raksturlielumi (attiecīgi saskaņā ar OP B14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A.12.2.2. visu ikdienas, preventīvo un atjaunošanas darbību vidējie intervāli (ja tos nav noteikusi līgumslēdzēja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A.12.2.3. katrai darbībai satiksmes sastrēgumu mazināšanas plāns (saskaņā ar B10 kritēriju) un nojaukšanas atkritumu apsaimniekošanas plāns (saskaņā ar E2 kritēriju).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A14. CEĻA GALVENO ELEMENTU ACN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kritēriju var piemērot tikai tad, ja pretendentiem paredzēts izsniegt references ceļa tāmi (Bill of Quantities), ko ņems par pamatu salīdzināšanai, vai tad, ja iepirkumā salīdzinās dažādu pretendentu iesniegtos projektus.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procedūras dokumentācijā ievēro papildu tehniskos norādījumus, kas sniegti šī Pielikuma 2.2 punktā -Tehniskie pielikumi A sadaļā (OP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Iepirkuma dokumentācijas sagatavošanā palīdz tehniskais vērtētājs, kas specializējas OP un kritiski izvērtē pieteikumus.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pamatojoties uz galveno ceļa elementu, kas nosaukti A tabulā, zemāko OP rādījumu salīdzinājumā ar references ceļu vai citiem iesniegtiem piedāvājumiem.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Salīdzināšanas pamatu precīzi norāda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 tabula</w:t>
            </w:r>
            <w:r w:rsidR="00000000" w:rsidRPr="00000000" w:rsidDel="00000000">
              <w:rPr>
                <w:rtl w:val="0"/>
              </w:rPr>
              <w:t xml:space="preserve">. Vērtējamie ceļa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13"/>
              <w:gridCol w:w="4347"/>
              <w:tblGridChange w:id="0">
                <w:tblGrid>
                  <w:gridCol w:w="5113"/>
                  <w:gridCol w:w="43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Jauna būvniecība vai būtiska paplašināšana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Uzturēšana un 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pamatne, tostarp zemes darbi un grunts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Pamata apakškārta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ceļa palīgelementi (pēc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Efektivitāti vērtē, veicot ceļa OP novērtējumu saskaņā piemērojamiem standartiem. Iepirkuma procedūras dokumentācijā norāda metodi, kura jāizmanto vērtēšanā (skatīt A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Visaugstāk tiks vērtēts pretendents, kas uzrādīs vismazāko OP rādījumu.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OP analīze tiek veikta pirms būvdarbu veicēja iepirkuma, pretendents sagatavo nodošanas dokumentu, ietverot galvenos pieņēmumus un rezultātus, īpaši attiecībā uz: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A.14.1. zemes darbu un grunts darbu risinājumiem;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A.14.2. ieteiktajiem materiāliem un izmantojamajām tehnoloģijām, piemēram, WMA (Warm Mix Asphalt</w:t>
            </w:r>
            <w:r w:rsidR="00000000" w:rsidRPr="00000000" w:rsidDel="00000000">
              <w:rPr>
                <w:rtl w:val="0"/>
              </w:rPr>
              <w:t xml:space="preserve">)</w:t>
            </w:r>
            <w:r w:rsidR="00000000" w:rsidRPr="00000000" w:rsidDel="00000000">
              <w:rPr>
                <w:i w:val="1"/>
                <w:rtl w:val="0"/>
              </w:rPr>
              <w:t xml:space="preserve">, HWMA (Half Warm Mix Asphalt</w:t>
            </w:r>
            <w:r w:rsidR="00000000" w:rsidRPr="00000000" w:rsidDel="00000000">
              <w:rPr>
                <w:rtl w:val="0"/>
              </w:rPr>
              <w:t xml:space="preserve">)</w:t>
            </w:r>
            <w:r w:rsidR="00000000" w:rsidRPr="00000000" w:rsidDel="00000000">
              <w:rPr>
                <w:i w:val="1"/>
                <w:rtl w:val="0"/>
              </w:rPr>
              <w:t xml:space="preserve">, CMA (Cold Mix Asphalt) un atkārtoti pārstrādāto saturu un/vai blakusproduktiem;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A.14.3. CO</w:t>
            </w:r>
            <w:r w:rsidR="00000000" w:rsidRPr="00000000" w:rsidDel="00000000">
              <w:rPr>
                <w:i w:val="1"/>
                <w:vertAlign w:val="subscript"/>
                <w:rtl w:val="0"/>
              </w:rPr>
              <w:t xml:space="preserve">2 </w:t>
            </w:r>
            <w:r w:rsidR="00000000" w:rsidRPr="00000000" w:rsidDel="00000000">
              <w:rPr>
                <w:i w:val="1"/>
                <w:rtl w:val="0"/>
              </w:rPr>
              <w:t xml:space="preserve">ekvivalentām (CO</w:t>
            </w:r>
            <w:r w:rsidR="00000000" w:rsidRPr="00000000" w:rsidDel="00000000">
              <w:rPr>
                <w:i w:val="1"/>
                <w:vertAlign w:val="subscript"/>
                <w:rtl w:val="0"/>
              </w:rPr>
              <w:t xml:space="preserve">2</w:t>
            </w:r>
            <w:r w:rsidR="00000000" w:rsidRPr="00000000" w:rsidDel="00000000">
              <w:rPr>
                <w:i w:val="1"/>
                <w:rtl w:val="0"/>
              </w:rPr>
              <w:t xml:space="preserve">e) emisijām uz vienu tonnu materiālu, kas pārvesti no ražošanas vietas uz darbu veikšanas vietu (pamata masas sadalījuma plāns);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A.14.4. atkārtoti pārstrādāto, otrreiz izmantoto un izrakto materiālu un būvniecības un nojaukšanas atkritumu procentuālo daudzumu būvlaukumā un ārpus 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A.14.5. uzturēšanas pasākumiem un biežumu.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 RECIKLĒTA UN ATKĀRTOTI PĀRSTRĀDĀTA SATURA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 ieteicams izvērtēt iespēju šo kritēriju apvienot ar B16 kritēriju, bet to nevajadzētu izmantot, ja tiek izvēlēts B14 kritērijs.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piešķir papildu punktus pretendentiem, kas ir panākuši, ka reciklētais saturs, atkārtoti izmantotais saturs un/vai blakus produktu saturs C tabulā norādītajos ceļa galvenajos elementos ir vismaz 15 procenti (pēc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Punktu piešķiršanai var noteikt augstākas minimālā satura prasības, ja pirms būvdarbu veicēja ir panākta vienošanās ar projektētājiem.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Pasūtītājs var piešķirt vairāk punktu par atkārtoti izmantotu saturu nekā par reciklētu vai atkārtoti pārstrādātu saturu atkarībā no vietējiem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C tabula</w:t>
            </w:r>
            <w:r w:rsidR="00000000" w:rsidRPr="00000000" w:rsidDel="00000000">
              <w:rPr>
                <w:rtl w:val="0"/>
              </w:rPr>
              <w:t xml:space="preserve">. Vērtējamie ceļa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17"/>
              <w:gridCol w:w="4443"/>
              <w:tblGridChange w:id="0">
                <w:tblGrid>
                  <w:gridCol w:w="5017"/>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Jauna būvniecība vai būtiska paplašināšana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Uzturēšana un 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pamatne, arī zemes darbi un grunts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Pamata apakškārta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Reciklēto, kā arī atkārtoti izmantoto saturu aprēķina, pamatojoties uz reciklēto materiālu un/vai blakusproduktu vidējo masas bilanci atkarībā no tā, kā tos ražo un piegādā uz būvlaukumu (attiecīgā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 katrai gatavā maisījuma partijai, kuras piegāde tiek veikta uz būvlaukumu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pildvielām;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asfalta segumam;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betona segumam;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hidrauliski saistītiem graudainajiem maisījumiem;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stabilizētai gruntij.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A.15.2. rūpnieciski ražotas plātnes un elementi ar norādītu saturu — katru gadu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A16. EFEKTIVITĀTES PRASĪBAS ATTIECĪBĀ UZ CO</w:t>
            </w:r>
            <w:r w:rsidR="00000000" w:rsidRPr="00000000" w:rsidDel="00000000">
              <w:rPr>
                <w:vertAlign w:val="subscript"/>
                <w:rtl w:val="0"/>
              </w:rPr>
              <w:t xml:space="preserve">2 </w:t>
            </w:r>
            <w:r w:rsidR="00000000" w:rsidRPr="00000000" w:rsidDel="00000000">
              <w:rPr>
                <w:rtl w:val="0"/>
              </w:rPr>
              <w:t xml:space="preserve">EKVIVALENTĀM EMISIJĀM, KAS RODAS PILDVIELU TRANSPORTĒŠANĀ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kritēriju neizmanto, ja tiek piemērots B14 kritērijs. Ir ieteicams izvērtēt iespēju šo kritēriju apvienot ar B15 kritēriju, lai sniegtu vispārēju labumu videi. Tas katrā ziņā jādara ar izpratni par tirgus apstākļiem, un iepirkuma procedūras dokumentācijā jānosaka un skaidri jānorāda, kāds ir to kritēriju svars, kas nodrošinās veiksmīgu iepirkuma norisi un dos pozitīvus punktus piedāvājumiem ar labākiem vispārējiem ekoloģiskajiem raksturlielumiem.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piešķirs proporcionāli CO</w:t>
            </w:r>
            <w:r w:rsidR="00000000" w:rsidRPr="00000000" w:rsidDel="00000000">
              <w:rPr>
                <w:vertAlign w:val="subscript"/>
                <w:rtl w:val="0"/>
              </w:rPr>
              <w:t xml:space="preserve">2 </w:t>
            </w:r>
            <w:r w:rsidR="00000000" w:rsidRPr="00000000" w:rsidDel="00000000">
              <w:rPr>
                <w:rtl w:val="0"/>
              </w:rPr>
              <w:t xml:space="preserve">ekvivalentas (CO</w:t>
            </w:r>
            <w:r w:rsidR="00000000" w:rsidRPr="00000000" w:rsidDel="00000000">
              <w:rPr>
                <w:vertAlign w:val="subscript"/>
                <w:rtl w:val="0"/>
              </w:rPr>
              <w:t xml:space="preserve">2 </w:t>
            </w:r>
            <w:r w:rsidR="00000000" w:rsidRPr="00000000" w:rsidDel="00000000">
              <w:rPr>
                <w:rtl w:val="0"/>
              </w:rPr>
              <w:t xml:space="preserve">e) emisijas samazinājumam uz tonnu pildvielu, ko izmanto E tabulā nosaukto ceļa galveno elementu ražošanā. Iepirkuma procedūras dokumentācijā norāda transportēšanā radušos CO</w:t>
            </w:r>
            <w:r w:rsidR="00000000" w:rsidRPr="00000000" w:rsidDel="00000000">
              <w:rPr>
                <w:vertAlign w:val="subscript"/>
                <w:rtl w:val="0"/>
              </w:rPr>
              <w:t xml:space="preserve">2 </w:t>
            </w:r>
            <w:r w:rsidR="00000000" w:rsidRPr="00000000" w:rsidDel="00000000">
              <w:rPr>
                <w:rtl w:val="0"/>
              </w:rPr>
              <w:t xml:space="preserve">emisiju aprēķināšanas metodi un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pamatojoties uz projektētāju sniegto informāciju, varētu noteikt mērķrādītāju: maksimālās CO</w:t>
            </w:r>
            <w:r w:rsidR="00000000" w:rsidRPr="00000000" w:rsidDel="00000000">
              <w:rPr>
                <w:vertAlign w:val="subscript"/>
                <w:rtl w:val="0"/>
              </w:rPr>
              <w:t xml:space="preserve">2 </w:t>
            </w:r>
            <w:r w:rsidR="00000000" w:rsidRPr="00000000" w:rsidDel="00000000">
              <w:rPr>
                <w:rtl w:val="0"/>
              </w:rPr>
              <w:t xml:space="preserve">e emisijas uz tonnu transportēto pildvielu. Šādu mērķrādītāju kopā ar to pamatā esošajiem pieņēmumiem un noteikumiem ietver galvenajam būvuzņēmējam domātajā uzaicinājumā iesniegt piedāvājumus.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E tabula</w:t>
            </w:r>
            <w:r w:rsidR="00000000" w:rsidRPr="00000000" w:rsidDel="00000000">
              <w:rPr>
                <w:rtl w:val="0"/>
              </w:rPr>
              <w:t xml:space="preserve">. Vērtējamie ceļa elementi</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2"/>
              <w:gridCol w:w="4538"/>
              <w:tblGridChange w:id="0">
                <w:tblGrid>
                  <w:gridCol w:w="492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Jauna būvniecība vai būtiska paplašināšana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Uzturēšana un atjaunošana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pamatne, arī zemes darbi un grunts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Pamata apakškārta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ceļa palīgelementi (pēc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 PRASĪBAS ŪDENS PIESĀRŅOJUMA KONTROLES "DABISKAJIEM" KOMPONENTIEM ŪDENS NOVADES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ūdens novades sistēmas projektiem, kuros iekļauti "dabiskie" komponenti (integrētās ūdens novades sistēmas, IŪNS), šādā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A.17.1. gar ceļa malu izbūvētas drenāžas tranšejas ar zemām malām (&lt; 25 mm) vai bez tām, kas nosedz vismaz 40 procenti no ceļmalas (0,25X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A.17.2. ar zālienu apzaļumotas ievalkas, kas noklāj vismaz 40 procenti no ceļmalas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A.17.3. apzaļumoti ūdens aizturēšanas baseini ar infiltrācijas nolūkā neoderētu pamatu, caur kuriem tiek novirzīts viss no ceļa novadītais ūdens, pirms tas sasniedz vietējo virszemes ūdenstilpi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A.17.4. apzaļumoti ūdens aizturēšanas dīķi ar oderējumu, lai radītu mākslīgu mitraini, un/vai tādi pastāvīgi ūdensobjekti visā baseinā vai tā daļā, caur kuriem tiek novirzīts viss no ceļa novadītais ūdens, pirms tas sasniedz vietējo virszemes ūdenstilpi (0,75X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novades projektā var būt iestrādātas vairākas IŪNS 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sistēmas projektē saskaņā ar paraugprakses pamatnostādnēm.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A18. PRASĪBAS LIETUS ŪDENS AIZTURĒŠANAS KAPACITĀTEI ŪDENS NOVADES SISTĒMĀS, KURĀS IESTRĀDĀTI "DABISKIE" KOMPONENTI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IŪNS, kas ietver tādas lietus ūdens aizturēšanas ierīces, kas uzlabo vietas estētiku un sekmē potenciālo dzīvotņu veidošanos, šādā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A.18.1 ar zālienu nostiprinātas ievalkas ar sliekšņiem un atveres plātnēm pamatnē, lai stipru lietusgāžu laikā tās darbotos kā aizturēšanas ierīces, bet parasti būtu sausas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A.18.2 apzaļumoti ūdens aizturēšanas baseini ar infiltrācijas nolūkā neoderētu pamatni un pārplūdi skarbiem apstākļiem, caur kuriem tiek novirzīts viss no ceļa novadītais ūdens, pirms tas sasniedz vietējo virszemes ūdenstilpi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A.18.3. apzaļumoti ūdens aizturēšanas dīķi ar oderējumu, lai radītu mākslīgu mitraini, un/vai tādi pastāvīgi ūdensobjekti visā baseinā vai tā daļā, caur kuriem tiek novirzīts viss no ceļa novadītais ūdens, pirms tas sasniedz vietējo virszemes ūdenstilpi (0,75X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novades tehniskajā projektā var iekļaut vienu pazīmi vai visas pazīmes, un tās var apvienot ar citiem "tehniskajiem" komponentiem atkarībā no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A19. RAKSTURLIELUMU PRASĪBAS VIETĀM, KUR CEĻU ŠĶĒRSO SAVVAĻAS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tādai ūdens novades infrastruktūrai (caurtekām vai pazemes pārejām), kas palīdz droši šķērsot ceļu mazajai faunai un abinieku vai ūdensdzīvnieku sugām. Punktus piešķir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A.19.1. ceļmalās izbūvētas drenāžas tranšejas ar zemām apmalēm (&lt; 25 mm) vai bez tām, kas aizņem vismaz 40 procenti no ceļmalas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A.19.2. vismaz 50 procenti visu caurteku, kas paredzētas virsmas ūdens novadīšanai otrpus pamata virskārtai, nodrošinātas gludas un sausas ejas mazajai faunai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A.19.3. visas caurtekas, caur kurām tiek novadīta virsmas ūdenstece, netraucē zivju vai abinieku sugu migrācijai pret straumi (0,5X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Caurtekas, kurās pieļaujama mazās faunas un ūdensdzīvnieku sugu pārvietošanās, projektē atbilstīgi paraugprakses pamatnostādnēm.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A20. IZPILDES NOSACĪJUMS ZEMA TROKŠŅA LĪMEŅA CEĻA SEGUMA TEHNISKAJAM PROJEKTAM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seguma tehniskajā projektā paredzēts panākt, ka CPX trokšņa emisijas ir vairāk nekā 1 dB(A) zemākas par tehniskajās prasībās noteikto minimumu (skatīt B7 prasību). Punktus piešķirs proporcionāli decibelu skaitam (dB(A)), par cik aplēstie raksturlielumi uzlabos minimālās tehniskās prasības.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ZPI līguma izpildes noteikumi ceļu būvniecībai vai tā būtiskai paplašināšanai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līguma izpildes noteikumi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CEĻA BŪVNIECĪBAS NODOŠANA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veicējam jānodrošina, lai ceļa būves nodošana ekspluatācijā atbilst saskaņotajam tehniskajam projektam un specifikācijām. Ieteicams pievērst īpašu uzmanību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B.1.1. ceļa galveno elementu OP/ACN raksturlielumiem (B14 kritērijs) vai CO</w:t>
            </w:r>
            <w:r w:rsidR="00000000" w:rsidRPr="00000000" w:rsidDel="00000000">
              <w:rPr>
                <w:vertAlign w:val="subscript"/>
                <w:rtl w:val="0"/>
              </w:rPr>
              <w:t xml:space="preserve">2 </w:t>
            </w:r>
            <w:r w:rsidR="00000000" w:rsidRPr="00000000" w:rsidDel="00000000">
              <w:rPr>
                <w:rtl w:val="0"/>
              </w:rPr>
              <w:t xml:space="preserve">emisijām uz tonnu transportēto materiālu (B16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B.1.2. izrakto materiālu un grunts apsaimniekošanas plānam (A2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informē pasūtītāju, ja būvniecības fāzē tiek apsvērta nepieciešamība pēc būtiskas atkāpes no projektā izvirzītajām prasībām, un, ja tas ir pamatoti, vienojas par atkāpi.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Gadījumiem, kad nevar vienoties, līguma noteikumos jāparedz iepriekš noteikta kārtība, lai lemtu par atbilstīgām un samērīgām soda sankcijām sakarā ar neatbilstību un/vai koriģējošiem vai seku mazināšanas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RECIKLĒTA UN ATKĀRTOTI PĀRSTRĀDĀTA SATURA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 materiālus nogādā būvlaukumā, apgalvojumus par reciklēto un atkārtoti pārstrādāto saturu, kas ir skaidri izsekojami, verificē katrai izstrādājumu partijai atsevišķi. Būvdarbu veicējs verificē apgalvojumus.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w:t>
            </w:r>
            <w:r w:rsidR="00000000" w:rsidRPr="00000000" w:rsidDel="00000000">
              <w:rPr>
                <w:i w:val="1"/>
                <w:rtl w:val="0"/>
              </w:rPr>
              <w:t xml:space="preserve">"Partija" ir vienoti marķētu tādu izstrādājumu daudzums ko ražo vienā un tajā pašā maisāmajā iekārtā vienādos apstākļos saskaņā ar noteiktu maisījuma projektu un izmantojot tās pašas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IZRAKTO MATERIĀLU UN GRUNTS APSAIMNIEKOŠANAS PLĀNA ĪSTENOŠANA VIENKĀRŠĀ UN VIEGLI PĀRSKATĀMĀ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ievieš vienkāršu un pasūtītājam viegli saprotamu un pārskatāmu uzraudzības un atskaitīšanās sistēmu par darbībām ar izraktajiem materiāliem un grunti būvdarbu gaitā būvlaukumā (kā pielikumu pie izpildes formas). Šī sistēma ietver datu uzskaiti par radītajām masām (augsnes virskārtu un izraktajiem materiāliem), būvlaukumā atkārtoti izmantoto/reciklēto materiālu procentuālajiem rādītājiem un ārpus būvlaukuma atkārtoti izmantoto/reciklēto materiālu procentuālajiem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sistēmā izseko un verificē izrakto materiālu sūtījumu galamērķi. Uzraudzības un izsekošanas datus saskaņā ar iepriekšēju vienošanos regulāri iesniedz līgumslēdzējai iestādei.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informē pasūtītāju, ja uzskata, ka ir nepieciešama būtiska atkāpe no projektēšanas fāzē iesniegtā izrakto materiālu un grunts apsaimniekošanas plāna, un, ja tas ir pamatoti, tad vienojas par atkāpi.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 ZPI prasības un kritēriji autoceļa izmantošanai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 ZEMA TROKŠŅA LĪMEŅA SEGUMU VEIKTSPĒJAS ILGIZTURĪBA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tas noteikts normatīvajā regulējumā, ka zems trokšņu līmenis ir uzskatāms par prioritāru šim ceļam.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Zema trokšņa līmeņa ceļa seguma trokšņa emisijas, kas mērītas pēc CPX metodes saskaņā ar piemērojamiem standartiem, kā ceļa posmā maksimālā atļautā ātruma funkcija, nedrīkst pārsniegt šādas robežvērtības piecus gadus pēc atbilstības ražošanas testā: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93 dB(A), ja ātrums ir 50 km/h, un/vai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98 dB(A), ja ātrums ir 70 km/h, un/vai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101 dB (A), ja ātrums ir 90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ceļa atvēršanas testēšanu veic vismaz vienu reizi 30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CPX testēšanas transportlīdzekļiem un/vai piekabēm izmanto radiālo riepu ar tērauda jostu un izmēra kodu P225/60R16, kā noteikts standarta specifikācijā "P225/60R16 radiālā standarta atsauces testa riepa" (ASTM F2493-14) vai ekvivalenta, ar protektoru ne mazāku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Testēšanas dati jākoriģē atbilstīgi 20 °C gaisa temperatūrai. Testēšanas datu nenoteiktības analīze jāizvērtē saskaņā ar "Norādījumiem par nenoteiktības izteikšanu mērījumos" (ISO/IEC norādījumi Nr. 98-3:2008), vai ekvivalentiem, un testēšanā jāuzrāda, ka rezultāti, arī to nenoteiktība, nepārsniedz iepriekš minētās vai tehniskajā projektā noteiktas ambiciozākas vērtības vairāk nekā par 1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Testētā ceļa posma telpiskajā dispersijā jāparāda, ka nevienā atsevišķā ceļa posma daļā kopējās robežvērtības netiek pārsniegtas vairāk par 2 dB(A).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 ZEMA TROKŠŅA LĪMEŅA SEGUMU VEIKTSPĒJAS ILGIZTURĪBA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Piecus gadus pēc atbilstības ražošanas testā Būvdarbu veicējs uztic neatkarīgām un kompetentām trešajām personām veikt ceļa segumam CPX trokšņa emisiju testēšanu saskaņā ar tehniskajā specifikācijā C1 norādīto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Testi jāveic sausos apstākļos un porainiem ceļa segumiem un ne mazāk kā divas dienas pēc lietus.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CPX dati neatbilst attiecīgajām robežvērtībām ilgizturības veiktspējas kritērijam, tad būvdarbu veicējam piemēro finansiālus sodus un/vai uzliek pienākumu veikt labošanas darbus bez papildu izdevumiem pasūtītājam.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Piemērojamo sodu vai koriģējošo darbību kārtība ir skaidri noteikta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 CEĻA UZTURĒŠANAS UN ATJAUNOŠANAS PLĀNA NODOŠANA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Šis variants attiecas uz PBE līgumiem, kuros paredzēts, ka uzraudzību veic PBE būvdarbu veicējs.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PBE būvdarbu veicējs informē pasūtītāju, ja uzskata, ka ir nepieciešama būtiska atkāpe no projektēšanas fāzē iesniegtā uzturēšanas un atjaunošanas plāna, un, ja tas ir pamatoti, vienojas par atkāpi.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 ZPI prasības un kritēriji ceļu uzturēšanai un ekspluatācijai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 BITUMENA SATUROŠS ASFALTS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Pasūtītājs var piemērot šo kritēriju, ja virsmas (virsma + seguma apakškārtas) un pamata virskārtas slāņa(-u) bitumena saturs pārsniedz normatīvajā regulējumā noteikto robežvērtību.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bitumena saturs atgūstamajā asfaltā pārsniedz valsts regulējumā noteikto robežvērtību, tad bitumena saturoša otrreiz izmantojamā asfalta pārstrādē izmanto vislabākās iespējamās tehnoloģijas (atbilstīgi tam, kas tiek uzskatīta par vislabāko iespējamo tehnoloģiju atkarībā no vietējās situācijas) un to izmantošanu apraksta tehniskajā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D2. BŪVNIECĪBAS UN DEMONTĀŽAS ATKRITUMU AUDITS UN APSAIMNIEKOŠANAS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70 procenti (masas procenti) nebīstamo atkritumu, kas rodas būvniecības un demontāžas laikā, tostarp aizbēršanai izmantoto materiālu, sagatavo otrreizējai izmantošanai, atkārtotai pārstrādāšanai vai reciklēšanai un citiem materiālu atgūšanas veidiem. Te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betoncements, atgūtā asfalta sega, pildvielas, kas reģenerētas no galvenajiem ceļa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materiāli, kas reģenerēti no palīgelementiem.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Aizbēršana nav atļauta neapbūvētā teritorijā ārpus ceļa. Atļautās vietās ceļa teritorijā aizbēršana veicama tikai ar izraktajiem materiāliem un grunti. Atkārtoti izmantoto, reciklēto un atgūto materiālu aizbēršanai izmanto tikai necaurlaidīgās ceļa teritorijās.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veic pirmsdemontāžas auditu, lai noteiktu, kādus materiālus var izmantot atkārtoti, reciklēt vai atgūt. Te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bīstamu atkritumu identificēšana un riska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tāme, kurā atsevišķi uzskaitīti dažādi būvmateriāli un izstrādājumi;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aplēse par atkārtotas izmantošanas un pārstrādes potenciālu procentos, pamatojoties uz to, kādas dalītas vākšanas sistēmas ierosināts izmantot nojaukšanas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Identificētos materiālus, izstrādājumus un elementus uzskaita nojaukšanas darbu tāmē.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D3. CEĻA UZTURĒŠANAS UN ATJAUNOŠANAS PLĀNA NODOŠANA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apņemas uzturēt ceļu saskaņā ar uzturēšanas un atjaunošanas plānu (skatīt B12 prasību).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D4. CEĻA UZTURĒŠANAS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Galvenajam uzturēšanas piegādātājam jānodrošina, lai ceļa uzturēšana tiek veikta atbilstīgi saskaņotajam tehniskajam projektam un specifikācijām. Ieteicams pievērst īpašu uzmanību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D.4.1. ceļa galveno elementu OP/ACN raksturlielumiem (A14 kritērijs) vai CO</w:t>
            </w:r>
            <w:r w:rsidR="00000000" w:rsidRPr="00000000" w:rsidDel="00000000">
              <w:rPr>
                <w:vertAlign w:val="subscript"/>
                <w:rtl w:val="0"/>
              </w:rPr>
              <w:t xml:space="preserve">2 </w:t>
            </w:r>
            <w:r w:rsidR="00000000" w:rsidRPr="00000000" w:rsidDel="00000000">
              <w:rPr>
                <w:rtl w:val="0"/>
              </w:rPr>
              <w:t xml:space="preserve">emisijām uz tonnu transportēto materiālu (A16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D.4.2. ūdens piesārņojuma kontroles komponentiem, lietus ūdens aizturēšanas kapacitātei, vidiskās integrācijas un atjaunošanas plānam un savvaļas dzīvnieku tuneļa projektam ūdens novades sistēmā (A3, A4, A5, A17, A18, A19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D.4.3. ceļa seguma ilgizturībai (A11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D.4.4. satiksmes sastrēgumu mazināšanas plāna ieviešanai (A10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veicējs informē pasūtītāju, ja būvniecības fāzē tiek apsvērta nepieciešamība pēc būtiskas atkāpes no projektā izvirzītajām prasībām, un, ja tas ir pamatoti, vienojas par atkāpi.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Gadījumiem, kad nevar vienoties, līguma noteikumos jāparedz iepriekš noteikta kārtība, lai lemtu par atbilstīgām un samērīgām soda sankcijām sakarā ar neatbilstību un/vai koriģējošiem vai seku mazināšanas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D5. ATKĀRTOTI PĀRSTRĀDĀTA UN RECIKLĒTA SATURA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D6. ZEMAS TEMPERATŪRAS ASFALTA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B3.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D7. VIDES INTEGRĀCIJAS UN ATJAUNOŠANAS PLĀNA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Darbu laikā būvdarbu veicējs pārliecinās, ka tiek veiktas atbilstīgas darbības, lai izveidotu veģetācijas segumu un varētu saglabāt biotopa kvalitāti. Cita starpā tās var būt šādas: mulčas/komposta ieklāšana, atzarošana, bojā gājušo augu aizstāšana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neapmierinoši vai neatbilstīgi rezultāti, skatīt vispārējā līguma izpildes noteikumus D4.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D8. TROKŠŅA EMISIJAS UZRAUDZĪBA UZTURĒŠANAS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B11.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D9. SATIKSMES SASTRĒGUMU MAZINĀŠANAS PLĀNA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B13.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 ZPI prasības aprites cikla beigām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ZPI prasība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 NOJAUKŠANAS ATKRITUMU AUDITS UN APSAIMNIEKOŠANAS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D2.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Tehniskie 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pielikums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A14 kritērija papildnorādījumi: 1. variants — oglekļa dioksīda pēda (OP)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kritērijā A14 ir noteikts, ka pretendenti var izmantot oglekļa pēdu (OP), lai pierādītu kā tie ir samazinājuši ceļa būves ietekmi uz vidi. Šajā īsajā aprakstā izklāstīts: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 kritēriju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kādi noteikumi nepieciešami, lai nodrošinātu piedāvājumu salīdzināmību;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kāds tehniskais atbalsts nepieciešams piedāvājumu atlasei.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 vienmēr izmanto, atsaucoties uz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Kad var izmantot OP 1. variantu?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A14 izmantošana iesakāma tikai tad, ja ir iespējama uzlabojumu salīdzināšana ar atsauces ceļa projektu un/vai starp dažādiem ceļa projektiem. Tāpēc šis variants attiecas uz šādiem iepirkuma scenārijiem: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pasūtītājam jau ir atsauces ceļa projekts un tāme, un tā izvērtēšanas gaitā ir izkristalizējusies orientējošā cena, ar kuru salīdzina piedāvājumus;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projektu konkursu izmanto, lai veicinātu inovatīvu ceļu projektu piedāvājumus, ko virza projektētāji un/vai darbuzņēmēji.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Šajos gadījumos var noteikt, ka viens no līguma piešķiršanas nosacījumiem ir OP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Vai pieteikumu vērtēšanai būs nepieciešamas speciālas zināšanas?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Ikvienā ceļa būvniecības un uzturēšanas iepirkumā pasūtītājam, visticamāk, būs nepieciešamas kādas speciālas projektēšanas un tehniskās zināšanas. Tas nepieciešams, lai noteiktu prasības un vērtētu projektus. Pasūtītājs varētu pieaicināt ekspertus divos iepirkuma procesa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Projektēšanas uzdevuma un efektivitātes prasību izstrāde: piegādātājiem sniedz norādījumus par tehniskajām prasībām, kas ir jāievēro, lai nodrošinātu iesniegto projektu salīdzināmību.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Projektu un uzlabojumu iespēju vērtēšana: jāveic tehnisks novērtējums par to, kā piegādātāji ir ievērojuši šo kritēriju, lai pasūtītājs varētu pieņemt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Tehniskajam vērtētājam ir kritiski jāpārskata katra piegādātāja OP analīze, saskaņā ar C pielikumā sniegtajiem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Kādi norādījumi jādod piegādātājiem?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iesniegto piedāvājumu salīdzināmību, iepirkumu procedūras dokumentācijā ir jāiestrādā šādi tehniskie norādījumi. Ja iesniegtos piedāvājumus vērtē, pamatojoties uz atsauces ceļu, tas ir skaidri jānorāda, kā arī jāiesniedz tāme par paredzētajiem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Tehniskie norādījumi piegādātājiem, ja ceļa novērtēšanā izmanto OP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Attiecīgais tehniskais aspekts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Praktiskā nozīme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Metode un inventarizācijas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Salīdzināmības nodrošināšanas labad, cik iespējams, norāda ietekmes novērtēšanas metodi un aprites cikla inventarizācijas datus, ko izmantos katra projektētāju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Trūkstošo informāciju var papildināt, izmantojot verificētus primāros datus atbilstoši norādījumiem, kas sniegti piemērojamos standartos, un datus no produktu vides deklarācijām (PVD)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Nenoteiktības līmeni mazina, ietverot: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nenoteiktību kvalitatīvo novērtējumu, kura pamatā ir pamatojuma datu avoti, tas, kā tie tika iegūti un apkopoti, un tas, uz kāda veida procesu un tehnoloģiju tie attiecas; kā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kvantitatīvu vērtējumu par diviem būtiskākajiem ceļa elementiem, kas identificēti analīzē (skatīt A14 kritērija A un B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Salīdzinājums, kura pamatā ir funkcionālā ekvivalence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projektā kā atsauces punktu nosaka šādus ceļa raksturlielumus (skatīt piemērojamos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attiecīgās tehniskās un funkcionālās prasības, kā norādīts efektivitātes prasībās;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prasītais darbmūžs.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Rezultātus izklāsta, izmantojot kopēju funkcionālo vienību saskaņā ar piemērojamiem standartiem.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Ceļa aprites cikla un robežu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Analīzes robežās ietver visu no sākuma līdz beigām, tostarp būvniecību (arī izejvielu ieguvi un transportēšanu), uzturēšanu, ekspluatāciju un aprites cikla beigas (ACB).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Reciklēto un atkārtoti izmantoto materiālu apjomus skaita saskaņā ar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ielaide (ražojuma posms):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izlaide (aprites cikla beigu vai uzturēšanas posms): atbilstoši piemērojamiem standartiem.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Kritēriju darbības jomā ietilpstošie ceļa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darbības joma aptver vismaz tālāk minētos ceļa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pamatne, arī zemes darbi un grunts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Pamata apakškārta.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ceļa palīgelementi (pēc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Vērtēšanā izmantojamais aprites cikla kategorijas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Globālās sasilšanas potenciāls (GSP)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pielikums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B14 kritērija (vispārīgā kritērija) papildnorādījumi: 2. variants — ACN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Piešķiršanas kritērijā A14 ir izklāstīts, kā piegādātājivar izmantot aprites cikla novērtējumu (ACN), lai pierādītu, kā tie ir samazinājuši ceļa būves ietekmi uz vidi. Šajā īsajā aprakstā izklāstīts: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 kritēriju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kādi noteikumi nepieciešami, lai nodrošinātu piedāvājumu salīdzināmību; kā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kāds tehniskais atbalsts nepieciešams piedāvājumu atlasei.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ACN vienmēr izmanto, atsaucoties uz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Kad var izmantot ACN 2. variantu?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A14 izmantošana iesakāma tikai tad, ja ir iespējama uzlabojumu salīdzināšana ar atsauces ceļa projektu un/vai starp dažādiem ceļa projektiem. Tāpēc šis variants attiecas uz šādiem iepirkuma scenārijiem: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pasūtītājam jau ir atsauces ceļa projekts un tāme, un tā izvērtēšanas gaitā ir izkristalizējusies orientējošā cena, ar kuru salīdzina piedāvājumus;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projektu konkursu izmanto, lai veicinātu inovatīvu ceļu projektus, ko virza projektētāji un/vai piegādātāji; Šajos gadījumos var noteikt, ka viens no līguma piešķiršanas nosacījumiem ir ACN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Vai pieteikumu vērtēšanai būs nepieciešamas speciālas zināšanas?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Ikvienā ceļa būvniecības un uzturēšanas iepirkumā pasūtītājam, visticamāk, būs nepieciešamas kādas speciālas projektēšanas un tehniskās zināšanas, lai noteiktu prasības un vērtētu projektus. Tāpēc pasūtītājs varētu pieaicināt ekspertus divos iepirkuma procesa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Projektēšanas uzdevuma un efektivitātes prasību izstrāde: piegādātājiem sniedz norādījumus par tehniskajām prasībām, kas ir jāievēro, lai nodrošinātu iesniegto projektu salīdzināmību.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Projektu un uzlabojumu iespēju vērtēšana: jāveic tehnisks novērtējums par to, kā piegādātāji ir ievērojuši šo kritēriju, lai pasūtītājs varētu pieņemt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Tehniskajam vērtētājam ir kritiski jāpārskata katra piegādātāja ACN analīze saskaņā ar C pielikumā sniegtajiem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Kādi norādījumi jādod piegādātājiem?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piedāvājumu salīdzināmību, iepirkuma procedūras dokumentācijā ir jāiestrādā šādi tehniskie norādījumi. Ja iesniegtos piedāvājumus vērtē, pamatojoties uz atsauces ceļu, tas ir skaidri jānorāda, kā arī jāiesniedz tāme par paredzētajiem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Tehniskie norādījumi piegādātājiem, ja ceļa novērtēšanā izmanto ACN:</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Attiecīgais tehniskais aspekts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Praktiskā nozīme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Metode un inventarizācijas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Salīdzināmības nodrošināšanas labad, cik iespējams, norāda ietekmes novērtēšanas metodi un aprites cikla inventarizācijas datus, ko izmantos katra projektētāju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Trūkstošo informāciju var papildināt, izmantojot verificētus primāros datus atbilstoši norādījumiem, kas sniegti piemērojamos standartos, un datus no PVD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Nenoteiktības līmeni mazina, ietverot: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nenoteiktību kvalitatīvo novērtējumu, kura pamatā ir pamatojuma datu avoti, tas, kā tie tika iegūti un apkopoti, un tas, uz kāda veida procesu un tehnoloģiju tie attiecas; kā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kvantitatīvu vērtējumu par diviem būtiskākajiem ceļa elementiem, kas identificēti analīzē (skatīt A14 kritērija A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Salīdzinājums, kura pamatā ir funkcionālā ekvivalence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projektā kā atsauces punktu nosaka šādus ceļa raksturlielumus (skatīt piemērojamos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attiecīgās tehniskās un funkcionālās prasības, kā norādīts efektivitātes prasībās;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prasītais darbmūžs.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Rezultātus izklāsta, izmantojot kopēju funkcionālo vienību vai atsauces vienību (skatīt piemērojamos standartus). Kalpošanas darbmūžu aplūko funkcionālās vienības definīcijā.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Ceļa aprites cikla un robežu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Analīzes robežās ietver visu no sākuma līdz beigām, tostarp būvniecību (arī izejvielu ieguvi un transportēšanu), uzturēšanu, ekspluatāciju un ACB (skatīt piemērojamos standartos).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Reciklēto un atkārtoti izmantoto materiālu apjomus skaita saskaņā ar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ielaide (ražojuma posms): atbilstoši noteikumiem piemērojamos standartos.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izlaide (nolietojuma vai apkopes posms): atbilstoši noteikumiem piemērojamos standartos.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Kritēriju darbības jomā ietilpstošie ceļa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darbības joma aptver vismaz tālāk minētos ceļa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pamatne, arī zemes darbi un grunts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Pamata apakškārta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Ceļa pamats, saistkārta un ceļa virsma vai cementbetona plātnes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ceļa palīgelementi (pēc 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 ekspluatācijas fāzē ģenerēto enerģiju atņem no šajā fāzē patērētās enerģijas.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Vērtēšanā izmantojamais aprites cikla kategorijas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izmantoti vismaz šādi ietekmes kategorijas rādītāji, kas ir norādīti piemērojamos standartos: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globālās sasilšanas potenciāls (</w:t>
            </w:r>
            <w:r w:rsidR="00000000" w:rsidRPr="00000000" w:rsidDel="00000000">
              <w:rPr>
                <w:i w:val="1"/>
                <w:rtl w:val="0"/>
              </w:rPr>
              <w:t xml:space="preserve">GWP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troposfēras ozona fotoķīmisko oksidētāju veidošanās potenciāls (</w:t>
            </w:r>
            <w:r w:rsidR="00000000" w:rsidRPr="00000000" w:rsidDel="00000000">
              <w:rPr>
                <w:i w:val="1"/>
                <w:rtl w:val="0"/>
              </w:rPr>
              <w:t xml:space="preserve">FOVP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stratosfēras ozona slāņa noplicināšanas potenciāls (</w:t>
            </w:r>
            <w:r w:rsidR="00000000" w:rsidRPr="00000000" w:rsidDel="00000000">
              <w:rPr>
                <w:i w:val="1"/>
                <w:rtl w:val="0"/>
              </w:rPr>
              <w:t xml:space="preserve">ONP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augsnes un ūdens paskābināšanas potenciāls (</w:t>
            </w:r>
            <w:r w:rsidR="00000000" w:rsidRPr="00000000" w:rsidDel="00000000">
              <w:rPr>
                <w:i w:val="1"/>
                <w:rtl w:val="0"/>
              </w:rPr>
              <w:t xml:space="preserve">PP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eitrofikācijas potenciāls (</w:t>
            </w:r>
            <w:r w:rsidR="00000000" w:rsidRPr="00000000" w:rsidDel="00000000">
              <w:rPr>
                <w:i w:val="1"/>
                <w:rtl w:val="0"/>
              </w:rPr>
              <w:t xml:space="preserve">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abiotisko resursu noplicināšanas potenciāls (</w:t>
            </w:r>
            <w:r w:rsidR="00000000" w:rsidRPr="00000000" w:rsidDel="00000000">
              <w:rPr>
                <w:i w:val="1"/>
                <w:rtl w:val="0"/>
              </w:rPr>
              <w:t xml:space="preserve">ARDP_elementi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abiotisko resursu noplicināšanas potenciāls (</w:t>
            </w:r>
            <w:r w:rsidR="00000000" w:rsidRPr="00000000" w:rsidDel="00000000">
              <w:rPr>
                <w:i w:val="1"/>
                <w:rtl w:val="0"/>
              </w:rPr>
              <w:t xml:space="preserve">ARDP_fosilais kurināmais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vai pilnībā var ietvert arī citus piemērojamos standartos norādītos rādītājus, ar kuriem apraksta resursu izmantojumu, atkritumu un izlaides plūsmas, ja tie jau nav minēti citā ZPI kritērijā, piemēram, par atkārtoti pārstrādāto un reciklējamo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novērtētu kopējo punktu skaitu, izmanto atlasīto ietekmes kategoriju rādītāju svēršanas sistēmu. Šo sistēmu izvēlas līgumslēdzēja iestāde, par pamatu 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 esošu piemērotu svēršanas sistēmu, piemēram, dažās nacionālajās ACN shēmās izmantotas sistēmas;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svēršanas sistēmu, ko ierosina ACN tehniskais vērtētājs (skatīt C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ar ACN rīku var izveidot ceļa apkopoto vērtējumu, tad ņem vērā tikai piemērojamos standartos norādīto ietekmes kategoriju rezultātu.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 pielikums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ACN tehniskā vērtētāja darba uzdevums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vērtētāja pienākums būs palīdzēt pasūtītājam definēt pamata nosacījumus piegādātājiem, atsaucoties uz A vai B pielikumu atkarībā no izvēlētā varianta.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vērtētājs ar pasūtītāju saskaņo tā iesniegto priekšlikumu par tādu ACIN rādītāju rezultātu svēršanu, kas noteikti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piedāvājumu atvēršanas tehniskais vērtētājs: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kritiski pārskata OP, vērtējot metodikas izvēli, datu kvalitāti un salīdzināmību;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kritiski pārskata ACN, vērtējot metodikas izvēli, datu kvalitāti un salīdzināmību.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Kritisko pārskatīšanu veic, atsaucoties uz piemērojamo standartu nosacījumiem par oglekļa pēdu un Komisijas 2013. gada 9. aprīļa Ieteikuma par kopīgu metožu izmantošanu produktu un organizāciju aprites cikla ekoloģisko raksturlielumu mērīšanai un uzrādīšanai (Eiropas Savienības Oficiālais Vēstnesis, 04.05.2013., Nr. L 124, 1. lpp.) šādiem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kritiska pārskatīšana (II pielikums, 9. punkts, 54. lpp.);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 apkopošanas pārbaudes saraksts (II pielikuma III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 kvalitātes prasības (II pielikums, 5.6. punkts, 33. lpp.);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rezultātu interpretēšana (II pielikums, 7. punkts, 50. lpp.).</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Ūdens sildītāji siltuma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Ražojumu grupa "ūdens sildītāji" ietver ražojumus, ko izmanto siltuma ražošanai centrālajā ūdens apkures sistēmā, kurā uzsildītā ūdens sadali nodrošina cirkulācijas sūkņi un sildķermeņi, lai noslēgtās telpās, piemēram, ēkā, mājoklī vai istabā, tiktu sasniegts un uzturēts vēlamais iekštelpu temperatūras līmenis. Ūdens sildītāju maksimālā jauda ir 400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ražojumu grupā neietilpst: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sildītāji, kuru primārā funkcija ir karsta dzeramā ūdens un saimniecības ūdens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sildītāji, ar kuriem silda un piegādā gāzveida siltumnesēju, piemēram, tvaiku vai gaisu;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koģenerācijas sildītāji ar maksimālo elektrisko jaudu 50 kW vai lielāku;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telpu sildītāji, kuros ir apvienota gan netiešās (izmantojot centrālo ūdens apkures sistēmu), gan tiešās (tieša siltuma atdeve telpā, kur iekārta uzstādīta) apsildes funkcija.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ZPI prasības un kritēriji ūdens sildītājiem siltuma ražošanai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sildītāju uzstādīšana ar nelielu ietekmi uz vidi iepirkums / iepirkums un uzstādīšana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MINIMĀLĀ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sildītāja telpu apsildes sezonas energoefektivitāte η</w:t>
            </w:r>
            <w:r w:rsidR="00000000" w:rsidRPr="00000000" w:rsidDel="00000000">
              <w:rPr>
                <w:vertAlign w:val="subscript"/>
                <w:rtl w:val="0"/>
              </w:rPr>
              <w:t xml:space="preserve">s</w:t>
            </w:r>
            <w:r w:rsidR="00000000" w:rsidRPr="00000000" w:rsidDel="00000000">
              <w:rPr>
                <w:rtl w:val="0"/>
              </w:rPr>
              <w:t xml:space="preserve"> nedrīkst būt zemāka par turpmāk norādītajām vērtībām.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Siltumģenerēšanas 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Minimālā telpu apsildes sezonas energoefektivitāte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sildītāji, izņemot cietās biomasas apsildes katlus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η</w:t>
                  </w:r>
                  <w:r w:rsidR="00000000" w:rsidRPr="00000000" w:rsidDel="00000000">
                    <w:rPr>
                      <w:vertAlign w:val="subscript"/>
                      <w:rtl w:val="0"/>
                    </w:rPr>
                    <w:t xml:space="preserve">s</w:t>
                  </w:r>
                  <w:r w:rsidR="00000000" w:rsidRPr="00000000" w:rsidDel="00000000">
                    <w:rPr>
                      <w:rtl w:val="0"/>
                    </w:rPr>
                    <w:t xml:space="preserve"> ≥ 90 %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Cietās biomasas apsildes katli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η</w:t>
                  </w:r>
                  <w:r w:rsidR="00000000" w:rsidRPr="00000000" w:rsidDel="00000000">
                    <w:rPr>
                      <w:vertAlign w:val="subscript"/>
                      <w:rtl w:val="0"/>
                    </w:rPr>
                    <w:t xml:space="preserve">s</w:t>
                  </w:r>
                  <w:r w:rsidR="00000000" w:rsidRPr="00000000" w:rsidDel="00000000">
                    <w:rPr>
                      <w:rtl w:val="0"/>
                    </w:rPr>
                    <w:t xml:space="preserve"> ≥ 75 %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apsildes sezonas energoefektivitāti aprēķina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procedūrām, kas izklāstītas Komisijas 2013. gada 2. augusta Regulas (ES) Nr. 813/2013, ar ko Eiropas Parlamenta un Padomes Direktīvu 2009/125/EK īsteno attiecībā uz ekodizaina prasībām telpu sildītājiem un kombinētajiem sildītājiem (Ekodizaina regula), III pielikumā attiecībā uz telpu sildītājiem un kombinētajiem sildītājiem,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harmonizētajiem standartiem un mērīšanas un aprēķina pagaidu metodēm, kas paredzētas Komisijas 2013. gada 2. augusta Regulas (ES) Nr. 813/2013, ar ko Eiropas Parlamenta un Padomes Direktīvu 2009/125/EK īsteno attiecībā uz ekodizaina prasībām telpu sildītājiem un kombinētajiem sildītājiem (Ekodizaina regula) un Komisijas 2013. gada 18. februāra Deleģētās regulas (ES) Nr. 811/2013, ar ko Eiropas Parlamenta un Padomes Direktīvu 2010/30/ES papildina attiecībā uz telpu sildītāju, kombinēto sildītāju, telpu sildītāja, temperatūras regulatora un saules enerģijas iekārtas komplektu un kombinētā sildītāja, temperatūras regulatora un saules enerģijas iekārtas komplektu energomarķējumu (Energomarķējuma regula), īstenošanai un izklāstītas Komisijas paziņojumā 2014/C 207/02, kurā iekļautas mērīšanas un aprēķina pagaidu metodes ekodizaina prasību (1. daļa)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1.1. un 1.2. apakšpunktā minētajām procedūrām telpu sildītāju komplektiem piemēro procedūras, kas izklāstītas Komisijas 2013. gada 18. februāra Deleģētās regulas (ES) Nr. 811/2013, ar ko Eiropas Parlamenta un Padomes Direktīvu 2010/30/ES papildina attiecībā uz telpu sildītāju, kombinēto sildītāju, telpu sildītāja, temperatūras regulatora un saules enerģijas iekārtas komplektu un kombinētā sildītāja, temperatūras regulatora un saules enerģijas iekārtas komplektu energomarķējumu (Energomarķējuma regula), VII pielikumā attiecībā uz telpu sildītājiem, kombinētajiem sildītājiem un telpu sildītāju komplektiem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Cietā kurināmā apsildes katliem η</w:t>
            </w:r>
            <w:r w:rsidR="00000000" w:rsidRPr="00000000" w:rsidDel="00000000">
              <w:rPr>
                <w:vertAlign w:val="subscript"/>
                <w:rtl w:val="0"/>
              </w:rPr>
              <w:t xml:space="preserve">s</w:t>
            </w:r>
            <w:r w:rsidR="00000000" w:rsidRPr="00000000" w:rsidDel="00000000">
              <w:rPr>
                <w:vertAlign w:val="superscript"/>
                <w:rtl w:val="0"/>
              </w:rPr>
              <w:t xml:space="preserve"> </w:t>
            </w:r>
            <w:r w:rsidR="00000000" w:rsidRPr="00000000" w:rsidDel="00000000">
              <w:rPr>
                <w:rtl w:val="0"/>
              </w:rPr>
              <w:t xml:space="preserve">aprēķina saskaņā ar iepriekš minētajām procedūrām, ņemot vērā šādus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η</w:t>
            </w:r>
            <w:r w:rsidR="00000000" w:rsidRPr="00000000" w:rsidDel="00000000">
              <w:rPr>
                <w:vertAlign w:val="subscript"/>
                <w:rtl w:val="0"/>
              </w:rPr>
              <w:t xml:space="preserve">s</w:t>
            </w:r>
            <w:r w:rsidR="00000000" w:rsidRPr="00000000" w:rsidDel="00000000">
              <w:rPr>
                <w:vertAlign w:val="superscript"/>
                <w:rtl w:val="0"/>
              </w:rPr>
              <w:t xml:space="preserve"> </w:t>
            </w:r>
            <w:r w:rsidR="00000000" w:rsidRPr="00000000" w:rsidDel="00000000">
              <w:rPr>
                <w:rtl w:val="0"/>
              </w:rPr>
              <w:t xml:space="preserve">aprēķina pamatā ir mitra kurināmā (darba kurināmā) augstākā siltumspēja GCV</w:t>
            </w:r>
            <w:r w:rsidR="00000000" w:rsidRPr="00000000" w:rsidDel="00000000">
              <w:rPr>
                <w:i w:val="1"/>
                <w:vertAlign w:val="subscript"/>
                <w:rtl w:val="0"/>
              </w:rPr>
              <w:t xml:space="preserve">ar</w:t>
            </w:r>
            <w:r w:rsidR="00000000" w:rsidRPr="00000000" w:rsidDel="00000000">
              <w:rPr>
                <w:rtl w:val="0"/>
              </w:rPr>
              <w:t xml:space="preserve">, kurā ņemts vērā kurināmā mitruma saturs un ietverta arī tā ūdeņraža latentā siltumenerģija, kas degšanas procesā oksidējas un pārvēršas ūdenī. Lai aplēstu η</w:t>
            </w:r>
            <w:r w:rsidR="00000000" w:rsidRPr="00000000" w:rsidDel="00000000">
              <w:rPr>
                <w:vertAlign w:val="subscript"/>
                <w:rtl w:val="0"/>
              </w:rPr>
              <w:t xml:space="preserve">s</w:t>
            </w:r>
            <w:r w:rsidR="00000000" w:rsidRPr="00000000" w:rsidDel="00000000">
              <w:rPr>
                <w:rtl w:val="0"/>
              </w:rPr>
              <w:t xml:space="preserve">, piemēro piemērojamos standartos noteiktos principus, tomēr η</w:t>
            </w:r>
            <w:r w:rsidR="00000000" w:rsidRPr="00000000" w:rsidDel="00000000">
              <w:rPr>
                <w:vertAlign w:val="subscript"/>
                <w:rtl w:val="0"/>
              </w:rPr>
              <w:t xml:space="preserve">s</w:t>
            </w:r>
            <w:r w:rsidR="00000000" w:rsidRPr="00000000" w:rsidDel="00000000">
              <w:rPr>
                <w:rtl w:val="0"/>
              </w:rPr>
              <w:t xml:space="preserve"> aprēķināšanā izmanto GCV</w:t>
            </w:r>
            <w:r w:rsidR="00000000" w:rsidRPr="00000000" w:rsidDel="00000000">
              <w:rPr>
                <w:i w:val="1"/>
                <w:vertAlign w:val="subscript"/>
                <w:rtl w:val="0"/>
              </w:rPr>
              <w:t xml:space="preserve">ar</w:t>
            </w:r>
            <w:r w:rsidR="00000000" w:rsidRPr="00000000" w:rsidDel="00000000">
              <w:rPr>
                <w:rtl w:val="0"/>
              </w:rPr>
              <w:t xml:space="preserve">, nevis mitra kurināmā (darba kurināmā) zemāko siltumspēju NCV</w:t>
            </w:r>
            <w:r w:rsidR="00000000" w:rsidRPr="00000000" w:rsidDel="00000000">
              <w:rPr>
                <w:i w:val="1"/>
                <w:vertAlign w:val="subscript"/>
                <w:rtl w:val="0"/>
              </w:rPr>
              <w:t xml:space="preserve">ar</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mitra kurināmā (darba kurināmā) augstākās siltumspējas GCV</w:t>
            </w:r>
            <w:r w:rsidR="00000000" w:rsidRPr="00000000" w:rsidDel="00000000">
              <w:rPr>
                <w:i w:val="1"/>
                <w:vertAlign w:val="subscript"/>
                <w:rtl w:val="0"/>
              </w:rPr>
              <w:t xml:space="preserve">ar</w:t>
            </w:r>
            <w:r w:rsidR="00000000" w:rsidRPr="00000000" w:rsidDel="00000000">
              <w:rPr>
                <w:rtl w:val="0"/>
              </w:rPr>
              <w:t xml:space="preserve"> noteikšanai izmanto piemērojamos standartos noteiktos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SILTUMNĪCEFEKTA GĀZU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sildītāja siltumnīcefekta gāzu (SEG) emisijas, ko izsaka CO</w:t>
            </w:r>
            <w:r w:rsidR="00000000" w:rsidRPr="00000000" w:rsidDel="00000000">
              <w:rPr>
                <w:vertAlign w:val="subscript"/>
                <w:rtl w:val="0"/>
              </w:rPr>
              <w:t xml:space="preserve">2</w:t>
            </w:r>
            <w:r w:rsidR="00000000" w:rsidRPr="00000000" w:rsidDel="00000000">
              <w:rPr>
                <w:rtl w:val="0"/>
              </w:rPr>
              <w:t xml:space="preserve"> ekvivalenta gramos uz siltuma jaudas kWh un aprēķina, izmantojot paskaidrojumos definētās kopējā ekvivalentā sasilšanas ietekmējuma (</w:t>
            </w:r>
            <w:r w:rsidR="00000000" w:rsidRPr="00000000" w:rsidDel="00000000">
              <w:rPr>
                <w:i w:val="1"/>
                <w:rtl w:val="0"/>
              </w:rPr>
              <w:t xml:space="preserve">Total Equivalent Warming Impact </w:t>
            </w:r>
            <w:r w:rsidR="00000000" w:rsidRPr="00000000" w:rsidDel="00000000">
              <w:rPr>
                <w:rtl w:val="0"/>
              </w:rPr>
              <w:t xml:space="preserve">— </w:t>
            </w:r>
            <w:r w:rsidR="00000000" w:rsidRPr="00000000" w:rsidDel="00000000">
              <w:rPr>
                <w:i w:val="1"/>
                <w:rtl w:val="0"/>
              </w:rPr>
              <w:t xml:space="preserve">TEWI</w:t>
            </w:r>
            <w:r w:rsidR="00000000" w:rsidRPr="00000000" w:rsidDel="00000000">
              <w:rPr>
                <w:rtl w:val="0"/>
              </w:rPr>
              <w:t xml:space="preserve">) formulas, nedrīkst pārsniegt turpmāk norādītās vērtības.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Siltumģenerēšanas 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SEG emisijas limiti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sildītāji, izņemot siltumsūkņa sildītājus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g CO</w:t>
                  </w:r>
                  <w:r w:rsidR="00000000" w:rsidRPr="00000000" w:rsidDel="00000000">
                    <w:rPr>
                      <w:vertAlign w:val="subscript"/>
                      <w:rtl w:val="0"/>
                    </w:rPr>
                    <w:t xml:space="preserve">2</w:t>
                  </w:r>
                  <w:r w:rsidR="00000000" w:rsidRPr="00000000" w:rsidDel="00000000">
                    <w:rPr>
                      <w:rtl w:val="0"/>
                    </w:rPr>
                    <w:t xml:space="preserve"> ekvivalenta/kWh siltuma jaudas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sildītāji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 g CO</w:t>
                  </w:r>
                  <w:r w:rsidR="00000000" w:rsidRPr="00000000" w:rsidDel="00000000">
                    <w:rPr>
                      <w:vertAlign w:val="subscript"/>
                      <w:rtl w:val="0"/>
                    </w:rPr>
                    <w:t xml:space="preserve">2</w:t>
                  </w:r>
                  <w:r w:rsidR="00000000" w:rsidRPr="00000000" w:rsidDel="00000000">
                    <w:rPr>
                      <w:rtl w:val="0"/>
                    </w:rPr>
                    <w:t xml:space="preserve"> ekvivalenta/kWh siltuma jaudas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RAŽOJUMA ILGMŪŽĪBA UN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Ražojumam ir vismaz četru gadu remonta vai nomaiņas garantija. Pretendents turklāt nodrošina, lai vismaz desmit gadus no iegādes dienas būtu pieejamas (tieši vai ar citu izvirzīto pārstāvju starpniecību) oriģinālās vai tām līdzvērtīgas rezerves daļas. Šis noteikums neattiecas uz nenovēršamām, īslaicīgām situācijām, kas nav atkarīgas no ražotāja, piemēram, dabas katastrofām.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UZSTĀDĪŠANAS INSTRUKCIJA UN LIETOŠANAS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Ražojumam drukātā veidā (uz iepakojuma un/vai ražojumam pievienotajā dokumentācijā) un/vai elektroniskā formātā ir nodrošinātas šādas uzstādīšanas instrukcijas un lietošanas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vispārīga informācija par to, kāda izmēra sildītāji izmantojami dažādu konstrukciju/lielumu ēkās;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informācija par sildītāja energopatēriņu;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pienācīgas uzstādīšanas instrukcijas, tostarp: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instrukcijas, kurās norādīts, ka sildītājs jāuzstāda pilnīgi apmācītiem tehniķiem;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jebkādi īpaši piesardzības pasākumi, kas ievērojami, sildītāju montējot un uzstādot;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instrukcijas, kurās norādīts, ka pēc uzstādīšanas pienācīgi jānoregulē sildītāja regulēšanas iestatījumi ("apsildes līkne");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attiecīgā gadījumā — informācija par to, kādas drīkst būt dūmgāzu gaisu piesārņojošo emisiju vērtības ekspluatācijas posmā un kā sildītājs noregulējams, lai tās nepārsniegtu. Ieteikumos īpaši būtu jāpiemin,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4.3.4.1. sildītāju noregulē, izmantojot mērinstrumentus CO, O</w:t>
            </w:r>
            <w:r w:rsidR="00000000" w:rsidRPr="00000000" w:rsidDel="00000000">
              <w:rPr>
                <w:vertAlign w:val="subscript"/>
                <w:rtl w:val="0"/>
              </w:rPr>
              <w:t xml:space="preserve">2</w:t>
            </w:r>
            <w:r w:rsidR="00000000" w:rsidRPr="00000000" w:rsidDel="00000000">
              <w:rPr>
                <w:rtl w:val="0"/>
              </w:rPr>
              <w:t xml:space="preserve"> vai CO</w:t>
            </w:r>
            <w:r w:rsidR="00000000" w:rsidRPr="00000000" w:rsidDel="00000000">
              <w:rPr>
                <w:vertAlign w:val="subscript"/>
                <w:rtl w:val="0"/>
              </w:rPr>
              <w:t xml:space="preserve">2</w:t>
            </w:r>
            <w:r w:rsidR="00000000" w:rsidRPr="00000000" w:rsidDel="00000000">
              <w:rPr>
                <w:rtl w:val="0"/>
              </w:rPr>
              <w:t xml:space="preserve">, NO</w:t>
            </w:r>
            <w:r w:rsidR="00000000" w:rsidRPr="00000000" w:rsidDel="00000000">
              <w:rPr>
                <w:vertAlign w:val="subscript"/>
                <w:rtl w:val="0"/>
              </w:rPr>
              <w:t xml:space="preserve">x</w:t>
            </w:r>
            <w:r w:rsidR="00000000" w:rsidRPr="00000000" w:rsidDel="00000000">
              <w:rPr>
                <w:rtl w:val="0"/>
              </w:rPr>
              <w:t xml:space="preserve">, temperatūras un kvēpu mērīšanai, lai nodrošinātu, ka netiek pārsniegta neviena 2., 4., 5., 6. un 7. kritērijā norādītā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4.3.4.2. mērinstrumentu ievietošanas atveru izvietojums ir tāds pats kā laboratoriskās testēšanas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4.3.4.3. mērījumu rezultātus ieraksta īpašā veidlapā vai diagrammā, un galalietotājam paliek viena tās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ja izmanto tehnoloģiju ar zemu izejošo dūmgāzu temperatūru, instrukcijās norāda, ka sistēma jāaprīko ar koroziju kavējošu tehnoloģiju;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ja izmanto kondensācijas katlus, instrukcijās norāda, ka dūmenis jāaizsargā pret kondensātu ar zemu pH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attiecībā uz siltumsūkņiem skaidri norāda, ka nedrīkst izmantot vielas, kas Eiropas Parlamenta un Padomes 2008. gada 16. decembra Regulā Nr. 1272/2008 par vielu un maisījumu klasificēšanu, marķēšanu un iepakošanu un ar ko groza un atceļ direktīvas 67/548/EEK un 1999/45/EK un groza regulu (EK) Nr. 1907/2006 klasificētas kādā no šajā regulā uzskaitītajām bīstamības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 informācija par to, ar ko tehniķim sazināties, lai saņemtu norādījumus par uzstādīšanu;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apkopes personālam paredzētas instrukcijas;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lietotājam paredzēta informācija, tostarp: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norādes par lietpratīgiem uzstādītājiem un apkopes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ieteikumi par sildītāja pienācīgu izmantošanu un uzstādīšanu, tostarp par to, kāds kurināmais jāizmanto un kā tas glabājams, lai nodrošinātu optimālu sadegšanu, un regulāro apkopju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ieteikumi par to, kā racionāla apiešanās var mazināt sildītāja ietekmi uz vidi, jo īpaši informācija par ražojuma pareizu izmantošanu, lai samazinātu energopatēriņu;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attiecīgā gadījumā — informācija par to, kā interpretējami mērījumu rezultāti un kā tos var uzlabot;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informācija par to,kuras rezerves daļas var nomainīt;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ieteikumi par pienācīgu iznīcināšanu pēc ražojuma kalpošanas laika beigām.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 tiks piešķirti par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par katru 1 procentu papildu pieauguma ūdens sildītāja telpu apsildes sezonas energoefektivitātē (η</w:t>
            </w:r>
            <w:r w:rsidR="00000000" w:rsidRPr="00000000" w:rsidDel="00000000">
              <w:rPr>
                <w:vertAlign w:val="subscript"/>
                <w:rtl w:val="0"/>
              </w:rPr>
              <w:t xml:space="preserve">s</w:t>
            </w:r>
            <w:r w:rsidR="00000000" w:rsidRPr="00000000" w:rsidDel="00000000">
              <w:rPr>
                <w:rtl w:val="0"/>
              </w:rPr>
              <w:t xml:space="preserve">), kā norādīts 1.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SILTUMNĪCEFEKTA GĀZU EMISIJU SAMAZINĀŠANA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Papildpunktus piešķir par katriem 5 g papildu samazinājuma ūdens sildītāja siltumnīcefekta gāzu emisijās, kā norādīts tehniskās specifikācijas 2.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TROKŠŅA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piešķiršanas kritēriju ieteicams piemērot to ūdens sildītāju publiskajā iepirkumā, kas saskaņā ar Ministru kabineta 2014.gada 7.janvāra noteikumiem Nr. 16 "Trokšņa novērtēšanas un pārvaldības kārtība" jāuzstāda no trokšņa aizsargājamās ēkās, piemēram, slimnīcās un 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Mērvienība ir attiecīgi dB(A) vai dB(C). Testus veic saskaņā ar piemērojamiem standartiem nominālos standartapstākļos un pie nominālas siltuma jaudas.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Piešķiramos punktus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PL = L</w:t>
            </w:r>
            <w:r w:rsidR="00000000" w:rsidRPr="00000000" w:rsidDel="00000000">
              <w:rPr>
                <w:b w:val="1"/>
                <w:vertAlign w:val="subscript"/>
                <w:rtl w:val="0"/>
              </w:rPr>
              <w:t xml:space="preserve">A,min</w:t>
            </w:r>
            <w:r w:rsidR="00000000" w:rsidRPr="00000000" w:rsidDel="00000000">
              <w:rPr>
                <w:b w:val="1"/>
                <w:rtl w:val="0"/>
              </w:rPr>
              <w:t xml:space="preserve"> / L</w:t>
            </w:r>
            <w:r w:rsidR="00000000" w:rsidRPr="00000000" w:rsidDel="00000000">
              <w:rPr>
                <w:b w:val="1"/>
                <w:vertAlign w:val="subscript"/>
                <w:rtl w:val="0"/>
              </w:rPr>
              <w:t xml:space="preserve">A</w:t>
            </w:r>
            <w:r w:rsidR="00000000" w:rsidRPr="00000000" w:rsidDel="00000000">
              <w:rPr>
                <w:b w:val="1"/>
                <w:rtl w:val="0"/>
              </w:rPr>
              <w:t xml:space="preserve"> x PL</w:t>
            </w:r>
            <w:r w:rsidR="00000000" w:rsidRPr="00000000" w:rsidDel="00000000">
              <w:rPr>
                <w:b w:val="1"/>
                <w:vertAlign w:val="subscript"/>
                <w:rtl w:val="0"/>
              </w:rPr>
              <w:t xml:space="preserve">A,max </w:t>
            </w:r>
            <w:r w:rsidR="00000000" w:rsidRPr="00000000" w:rsidDel="00000000">
              <w:rPr>
                <w:b w:val="1"/>
                <w:rtl w:val="0"/>
              </w:rPr>
              <w:t xml:space="preserve">+ L</w:t>
            </w:r>
            <w:r w:rsidR="00000000" w:rsidRPr="00000000" w:rsidDel="00000000">
              <w:rPr>
                <w:b w:val="1"/>
                <w:vertAlign w:val="subscript"/>
                <w:rtl w:val="0"/>
              </w:rPr>
              <w:t xml:space="preserve">C, min </w:t>
            </w:r>
            <w:r w:rsidR="00000000" w:rsidRPr="00000000" w:rsidDel="00000000">
              <w:rPr>
                <w:b w:val="1"/>
                <w:rtl w:val="0"/>
              </w:rPr>
              <w:t xml:space="preserve">/ L</w:t>
            </w:r>
            <w:r w:rsidR="00000000" w:rsidRPr="00000000" w:rsidDel="00000000">
              <w:rPr>
                <w:b w:val="1"/>
                <w:vertAlign w:val="subscript"/>
                <w:rtl w:val="0"/>
              </w:rPr>
              <w:t xml:space="preserve">C </w:t>
            </w:r>
            <w:r w:rsidR="00000000" w:rsidRPr="00000000" w:rsidDel="00000000">
              <w:rPr>
                <w:b w:val="1"/>
                <w:rtl w:val="0"/>
              </w:rPr>
              <w:t xml:space="preserve">x PL</w:t>
            </w:r>
            <w:r w:rsidR="00000000" w:rsidRPr="00000000" w:rsidDel="00000000">
              <w:rPr>
                <w:b w:val="1"/>
                <w:vertAlign w:val="subscript"/>
                <w:rtl w:val="0"/>
              </w:rPr>
              <w:t xml:space="preserve">C,max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 ir trokšņa līmeņa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w:t>
            </w:r>
            <w:r w:rsidR="00000000" w:rsidRPr="00000000" w:rsidDel="00000000">
              <w:rPr>
                <w:vertAlign w:val="subscript"/>
                <w:rtl w:val="0"/>
              </w:rPr>
              <w:t xml:space="preserve">A,min </w:t>
            </w:r>
            <w:r w:rsidR="00000000" w:rsidRPr="00000000" w:rsidDel="00000000">
              <w:rPr>
                <w:rtl w:val="0"/>
              </w:rPr>
              <w:t xml:space="preserve">ir zemākais A-izsvarotais skaņas jaudas līmenis par pilnīgi atbilstošu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w:t>
            </w:r>
            <w:r w:rsidR="00000000" w:rsidRPr="00000000" w:rsidDel="00000000">
              <w:rPr>
                <w:vertAlign w:val="subscript"/>
                <w:rtl w:val="0"/>
              </w:rPr>
              <w:t xml:space="preserve">C, min</w:t>
            </w:r>
            <w:r w:rsidR="00000000" w:rsidRPr="00000000" w:rsidDel="00000000">
              <w:rPr>
                <w:rtl w:val="0"/>
              </w:rPr>
              <w:t xml:space="preserve"> ir zemākais C-izsvarotais skaņas jaudas līmenis par pilnīgi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w:t>
            </w:r>
            <w:r w:rsidR="00000000" w:rsidRPr="00000000" w:rsidDel="00000000">
              <w:rPr>
                <w:vertAlign w:val="subscript"/>
                <w:rtl w:val="0"/>
              </w:rPr>
              <w:t xml:space="preserve">A</w:t>
            </w:r>
            <w:r w:rsidR="00000000" w:rsidRPr="00000000" w:rsidDel="00000000">
              <w:rPr>
                <w:rtl w:val="0"/>
              </w:rPr>
              <w:t xml:space="preserve"> ir novērtējamais A-izsvarotais skaņas jaudas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w:t>
            </w:r>
            <w:r w:rsidR="00000000" w:rsidRPr="00000000" w:rsidDel="00000000">
              <w:rPr>
                <w:vertAlign w:val="subscript"/>
                <w:rtl w:val="0"/>
              </w:rPr>
              <w:t xml:space="preserve">C</w:t>
            </w:r>
            <w:r w:rsidR="00000000" w:rsidRPr="00000000" w:rsidDel="00000000">
              <w:rPr>
                <w:rtl w:val="0"/>
              </w:rPr>
              <w:t xml:space="preserve"> ir novērtējamais C-izsvarotais skaņas jaudas līmenis (attiecīgā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w:t>
            </w:r>
            <w:r w:rsidR="00000000" w:rsidRPr="00000000" w:rsidDel="00000000">
              <w:rPr>
                <w:vertAlign w:val="subscript"/>
                <w:rtl w:val="0"/>
              </w:rPr>
              <w:t xml:space="preserve">A,max</w:t>
            </w:r>
            <w:r w:rsidR="00000000" w:rsidRPr="00000000" w:rsidDel="00000000">
              <w:rPr>
                <w:rtl w:val="0"/>
              </w:rPr>
              <w:t xml:space="preserve"> ir iegūstamo punktu maksimālais skaits saistībā ar A- izsvaroto skaņas jaudas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w:t>
            </w:r>
            <w:r w:rsidR="00000000" w:rsidRPr="00000000" w:rsidDel="00000000">
              <w:rPr>
                <w:vertAlign w:val="subscript"/>
                <w:rtl w:val="0"/>
              </w:rPr>
              <w:t xml:space="preserve">C,max</w:t>
            </w:r>
            <w:r w:rsidR="00000000" w:rsidRPr="00000000" w:rsidDel="00000000">
              <w:rPr>
                <w:rtl w:val="0"/>
              </w:rPr>
              <w:t xml:space="preserve"> ir iegūstamo punktu maksimālais skaits saistībā ar C- izsvaroto skaņas jaudas līmeni (attiecīgā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Nepiešķir nevienu punktu, ja ūdens sildītāja trokšņa emisija pārsniedz turpmāk norādītās robežvērtības.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526"/>
              <w:gridCol w:w="4059"/>
              <w:tblGridChange w:id="0">
                <w:tblGrid>
                  <w:gridCol w:w="2814"/>
                  <w:gridCol w:w="2526"/>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Siltumģenerēšanas 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emisijas limits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sildītāji, izņemot koģenerācijas sildītājus un siltumsūkņus, kas aprīkoti ar iekšdedzes dzinēju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A-izsvarotais skaņas jaudas līmenis (L</w:t>
                  </w:r>
                  <w:r w:rsidR="00000000" w:rsidRPr="00000000" w:rsidDel="00000000">
                    <w:rPr>
                      <w:vertAlign w:val="subscript"/>
                      <w:rtl w:val="0"/>
                    </w:rPr>
                    <w:t xml:space="preserve">WAd,lim</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+ 36 x log(P</w:t>
                  </w:r>
                  <w:r w:rsidR="00000000" w:rsidRPr="00000000" w:rsidDel="00000000">
                    <w:rPr>
                      <w:vertAlign w:val="subscript"/>
                      <w:rtl w:val="0"/>
                    </w:rPr>
                    <w:t xml:space="preserve">N</w:t>
                  </w:r>
                  <w:r w:rsidR="00000000" w:rsidRPr="00000000" w:rsidDel="00000000">
                    <w:rPr>
                      <w:rtl w:val="0"/>
                    </w:rPr>
                    <w:t xml:space="preserve"> +10) dB(A)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Koģenerācijas sildītāji un siltumsūkņi, kas aprīkoti ar iekšdedzes dzinēju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A-izsvarotais skaņas spiediena līmenis (L</w:t>
                  </w:r>
                  <w:r w:rsidR="00000000" w:rsidRPr="00000000" w:rsidDel="00000000">
                    <w:rPr>
                      <w:vertAlign w:val="subscript"/>
                      <w:rtl w:val="0"/>
                    </w:rPr>
                    <w:t xml:space="preserve">PAd,lim)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+ 20 x log(PE +15) dB(A)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C-izsvarotais skaņas spiediena līmenis (L</w:t>
                  </w:r>
                  <w:r w:rsidR="00000000" w:rsidRPr="00000000" w:rsidDel="00000000">
                    <w:rPr>
                      <w:vertAlign w:val="subscript"/>
                      <w:rtl w:val="0"/>
                    </w:rPr>
                    <w:t xml:space="preserve">PCd,lim)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PAd,lim</w:t>
                  </w:r>
                  <w:r w:rsidR="00000000" w:rsidRPr="00000000" w:rsidDel="00000000">
                    <w:rPr>
                      <w:rtl w:val="0"/>
                    </w:rPr>
                    <w:t xml:space="preserve"> + 20 dB(C)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PN ir nominālā (pilnas slodzes) siltuma jauda; PE ir elektriskā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RAŽOJUMA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profesionāli apmācīts personāls, izmantojot parasti pieejamos darbarīkus, ūdens sildītāju var viegli demontēt, lai veiktu remontu un nomainītu nolietojušās detaļas, aizstātu vecākas vai novecojušas detaļas ar jaunām un atdalītu detaļas un materiālus to pārstrādei vai atkārtotai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GĀZVEIDA ORGANISKĀ OGLEKĻA (OGC)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gāzveida organiskā oglekļa (OGC) emisijas nepārsniedz 7 mg/Nm</w:t>
            </w:r>
            <w:r w:rsidR="00000000" w:rsidRPr="00000000" w:rsidDel="00000000">
              <w:rPr>
                <w:vertAlign w:val="superscript"/>
                <w:rtl w:val="0"/>
              </w:rPr>
              <w:t xml:space="preserve">3 </w:t>
            </w:r>
            <w:r w:rsidR="00000000" w:rsidRPr="00000000" w:rsidDel="00000000">
              <w:rPr>
                <w:rtl w:val="0"/>
              </w:rPr>
              <w:t xml:space="preserve">pie O</w:t>
            </w:r>
            <w:r w:rsidR="00000000" w:rsidRPr="00000000" w:rsidDel="00000000">
              <w:rPr>
                <w:vertAlign w:val="subscript"/>
                <w:rtl w:val="0"/>
              </w:rPr>
              <w:t xml:space="preserve">2 </w:t>
            </w:r>
            <w:r w:rsidR="00000000" w:rsidRPr="00000000" w:rsidDel="00000000">
              <w:rPr>
                <w:rtl w:val="0"/>
              </w:rPr>
              <w:t xml:space="preserve">satura 10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OGC emisijām piešķiramo maksimālo punktu skaitu piešķir visām tehnoloģijām, izņemot cietā kurināmā apsildes katlus, jo tie ir vienīgie, ko uzskata par problemātiskiem saistībā ar OGC emisijām.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cietā kurināmā apsildes katliem piešķiramos punktus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POGC</w:t>
            </w:r>
            <w:r w:rsidR="00000000" w:rsidRPr="00000000" w:rsidDel="00000000">
              <w:rPr>
                <w:b w:val="1"/>
                <w:rtl w:val="0"/>
              </w:rPr>
              <w:t xml:space="preserve"> = OGC</w:t>
            </w:r>
            <w:r w:rsidR="00000000" w:rsidRPr="00000000" w:rsidDel="00000000">
              <w:rPr>
                <w:b w:val="1"/>
                <w:vertAlign w:val="subscript"/>
                <w:rtl w:val="0"/>
              </w:rPr>
              <w:t xml:space="preserve">min </w:t>
            </w:r>
            <w:r w:rsidR="00000000" w:rsidRPr="00000000" w:rsidDel="00000000">
              <w:rPr>
                <w:b w:val="1"/>
                <w:rtl w:val="0"/>
              </w:rPr>
              <w:t xml:space="preserve">/ OGC x </w:t>
            </w:r>
            <w:r w:rsidR="00000000" w:rsidRPr="00000000" w:rsidDel="00000000">
              <w:rPr>
                <w:b w:val="1"/>
                <w:i w:val="1"/>
                <w:rtl w:val="0"/>
              </w:rPr>
              <w:t xml:space="preserve">POGC</w:t>
            </w:r>
            <w:r w:rsidR="00000000" w:rsidRPr="00000000" w:rsidDel="00000000">
              <w:rPr>
                <w:b w:val="1"/>
                <w:vertAlign w:val="subscript"/>
                <w:rtl w:val="0"/>
              </w:rPr>
              <w:t xml:space="preserve">max </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POGC</w:t>
            </w:r>
            <w:r w:rsidR="00000000" w:rsidRPr="00000000" w:rsidDel="00000000">
              <w:rPr>
                <w:rtl w:val="0"/>
              </w:rPr>
              <w:t xml:space="preserve"> ir OGC emisiju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OGC</w:t>
            </w:r>
            <w:r w:rsidR="00000000" w:rsidRPr="00000000" w:rsidDel="00000000">
              <w:rPr>
                <w:vertAlign w:val="subscript"/>
                <w:rtl w:val="0"/>
              </w:rPr>
              <w:t xml:space="preserve">min</w:t>
            </w:r>
            <w:r w:rsidR="00000000" w:rsidRPr="00000000" w:rsidDel="00000000">
              <w:rPr>
                <w:rtl w:val="0"/>
              </w:rPr>
              <w:t xml:space="preserve"> ir zemākais OGC emisiju testa rezultāts par pilnīgi atbilstošu piedāvājumu, ņemot vērā piedāvājumus par cietā kurināmā apsildes katliem;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OGC ir novērtējamais OGC emisiju testa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POGC</w:t>
            </w:r>
            <w:r w:rsidR="00000000" w:rsidRPr="00000000" w:rsidDel="00000000">
              <w:rPr>
                <w:i w:val="1"/>
                <w:vertAlign w:val="subscript"/>
                <w:rtl w:val="0"/>
              </w:rPr>
              <w:t xml:space="preserve">max</w:t>
            </w:r>
            <w:r w:rsidR="00000000" w:rsidRPr="00000000" w:rsidDel="00000000">
              <w:rPr>
                <w:vertAlign w:val="subscript"/>
                <w:rtl w:val="0"/>
              </w:rPr>
              <w:t xml:space="preserve"> </w:t>
            </w:r>
            <w:r w:rsidR="00000000" w:rsidRPr="00000000" w:rsidDel="00000000">
              <w:rPr>
                <w:rtl w:val="0"/>
              </w:rPr>
              <w:t xml:space="preserve">ir maksimālais par OGC emisijām iegūstamo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DAĻIŅU (PM)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daļiņu (PM) emisijas nepārsniedz 20 mg/Nm</w:t>
            </w:r>
            <w:r w:rsidR="00000000" w:rsidRPr="00000000" w:rsidDel="00000000">
              <w:rPr>
                <w:vertAlign w:val="superscript"/>
                <w:rtl w:val="0"/>
              </w:rPr>
              <w:t xml:space="preserve">3 </w:t>
            </w:r>
            <w:r w:rsidR="00000000" w:rsidRPr="00000000" w:rsidDel="00000000">
              <w:rPr>
                <w:rtl w:val="0"/>
              </w:rPr>
              <w:t xml:space="preserve">pie O</w:t>
            </w:r>
            <w:r w:rsidR="00000000" w:rsidRPr="00000000" w:rsidDel="00000000">
              <w:rPr>
                <w:vertAlign w:val="subscript"/>
                <w:rtl w:val="0"/>
              </w:rPr>
              <w:t xml:space="preserve">2 </w:t>
            </w:r>
            <w:r w:rsidR="00000000" w:rsidRPr="00000000" w:rsidDel="00000000">
              <w:rPr>
                <w:rtl w:val="0"/>
              </w:rPr>
              <w:t xml:space="preserve">satura 10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PM emisijām piešķiramo maksimālo punktu skaitu piešķir visām tehnoloģijām, izņemot cietā kurināmā apsildes katlus, jo tie ir vienīgie, ko uzskata par problemātiskiem saistībā ar PM emisijām.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cietā kurināmā apsildes katliem piešķiramos punktus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PPM</w:t>
            </w:r>
            <w:r w:rsidR="00000000" w:rsidRPr="00000000" w:rsidDel="00000000">
              <w:rPr>
                <w:b w:val="1"/>
                <w:vertAlign w:val="subscript"/>
                <w:rtl w:val="0"/>
              </w:rPr>
              <w:t xml:space="preserve">min </w:t>
            </w:r>
            <w:r w:rsidR="00000000" w:rsidRPr="00000000" w:rsidDel="00000000">
              <w:rPr>
                <w:b w:val="1"/>
                <w:rtl w:val="0"/>
              </w:rPr>
              <w:t xml:space="preserve">/ PM x PPM</w:t>
            </w:r>
            <w:r w:rsidR="00000000" w:rsidRPr="00000000" w:rsidDel="00000000">
              <w:rPr>
                <w:b w:val="1"/>
                <w:vertAlign w:val="subscript"/>
                <w:rtl w:val="0"/>
              </w:rPr>
              <w:t xml:space="preserve">max</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PPM ir PM emisiju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w:t>
            </w:r>
            <w:r w:rsidR="00000000" w:rsidRPr="00000000" w:rsidDel="00000000">
              <w:rPr>
                <w:vertAlign w:val="subscript"/>
                <w:rtl w:val="0"/>
              </w:rPr>
              <w:t xml:space="preserve">min </w:t>
            </w:r>
            <w:r w:rsidR="00000000" w:rsidRPr="00000000" w:rsidDel="00000000">
              <w:rPr>
                <w:rtl w:val="0"/>
              </w:rPr>
              <w:t xml:space="preserve">ir zemākais PM emisiju testa rezultāts par pilnīgi atbilstošu piedāvājumu, ņemot vērā piedāvājumus par cietā kurināmā apsildes katliem;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 ir novērtējamais PM emisiju testa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PPM</w:t>
            </w:r>
            <w:r w:rsidR="00000000" w:rsidRPr="00000000" w:rsidDel="00000000">
              <w:rPr>
                <w:vertAlign w:val="subscript"/>
                <w:rtl w:val="0"/>
              </w:rPr>
              <w:t xml:space="preserve">max</w:t>
            </w:r>
            <w:r w:rsidR="00000000" w:rsidRPr="00000000" w:rsidDel="00000000">
              <w:rPr>
                <w:rtl w:val="0"/>
              </w:rPr>
              <w:t xml:space="preserve"> ir maksimālais par PM emisijām iegūstamo punktu skaits.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Dārzkopības produkti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attiecināmi uz iepirkumiem, kas saistīti ar publiskās zaļās zonas apsaimniekošanu: dārzkopības produktiem, tehniku un pakalpojumiem publiskās zaļās zonas apsaimniekošanai.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Dārzkopības pakalpojumus var sniegt nepastarpināti piegādātāja darbinieki vai ar pakalpojumu sniedzēja uzņēmuma starpniecību. Tādēļ šajā dokumentā ietverti kritēriji gan attiecībā uz galveno dārzkopības produktu un elementu, piem., augu sugu, augsnes ielabošanas līdzekļu, dārzkopības materiālu un instrumentu, iekārtu (zālāju pļaujmašīnas, smalcinātāji) un apūdeņošanas sistēmu tiešo iepirkumu, gan uz dārzkopības pakalpojumu iepirkumu, kuriem tiks noteiktas papildu prasības attiecībā uz transportu un citiem līguma izpildes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ar dārzkopību saistītie aspekti (dārza mēbeles, dārzkopības pakalpojumu sniedzēju apģērbs, izmantotais lieljaudas transports) apskatīti ar konkrēto jomu saistītajās preču/pakalpojumu grupās (mēbeles, tekstilizstrādājumi, transports).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 Dārzkopības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un kritērijus ir ieteicams piemērot galvenajiem produktiem un iekārtām, ko izmanto dārzkopībā,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augsnes ielabošanas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dekoratīvajiem 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apūdeņošanas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dārza tehnikai;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smēreļļām;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herbicīdiem un pesticīdiem;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invazīviem 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kritēriji attiecas tikai uz dārzkopības iekārtām, kuras ir aprīkotas ar degvielas motoriem, elektrodzinējiem, uzlādējamiem akumulatoriem vai ir darbināmas ar roku,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zālāju pļaujmašīnām (ieskaitot zālāja traktorus) un skarifikatoriem;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krūmzāģiem;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ķēdes zāģiem;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vieglajām motorizkaptīm ar auklu;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vieglajām motorizkaptīm un dzīvžogu šķērēm;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lapu savācējiem un lapu pūtējiem;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autoizkaptīm;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frēzēm-kapļiem;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rotējošām zemes frēzēm;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smalcinātājiem.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4.1.1. ZPI prasības dekoratīvajiem augiem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Dekoratīvo augu un koku iepirkšana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AUGU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Vismaz [X] procenti dekoratīvo augu ir jābūt tādām augu sugām, kas ir piemērotas vietējiem augšanas apstākļiem (piem., augsnes skābums, vidējais nokrišņu daudzums, temperatūras diapazons gada laikā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Vismaz [Y] procenti dekoratīvo augu ir jābūt bioloģiski izaudzētiem saskaņā ar Padomes 2007. gada 28. jūnija Regulu (EK) Nr. 834/2007 par bioloģisko ražošanu un bioloģisko produktu marķēšanu un par Regulas (EEK) Nr. 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STĀDU KONTEINERI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 jāpiegādā pārstrādājamos vai bioloģiski noārdāmos konteineros. Ja stādu konteineri ir atkārtoti izmantojami, pēc augu/koku iestādīšanas uzņēmumam tie ir jāpaņem atpakaļ. Ja stādu konteineri bioloģiski noārdās: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2.1.tiem ir jābūt 100 procenti izgatavotiem no bioloģiski noārdāmām (kompostējamām) vielām, piemēram, salmiem, korķa, koksnes miltiem, kukurūzas cietes;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2.2.tie nedrīkst saturēt sintētiskus plastikas materiālus, plastifikatorus vai biocīdas vielas, piemēram, tādas vielas, kas ir biocīdu vai konservantu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Mazus augus jāpiegādā redeļu kastēs vai kastēs, ko var nodot atpakaļ.</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4.1.2. ZPI prasības augsnes ielabošanas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draudzīgu augsnes ielabošanas līdzekļu iepirkums.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MĒSLOŠANĀ IZMANTOJAMO AUGSNES IELABOŠANAS LĪDZEKĻU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Augsnes ielabošanas līdzekļi, ko paredzēts izmantot pakalpojumu sniegšanā, nedrīkst saturēt kūdru vai notekūdeņu dūņas.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Organiskajām vielām ir jābūt iegūtām no atkritumu pārstrādes un/vai atkārtotas izmantošanas (kā noteikts Ministru kabineta 2011.gada 26.aprīļa noteikumos Nr.319 "Noteikumi par atkritumu reģenerācijas un apglabāšanas veidiem" un to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Dūņas (izņemot kanalizācijas dūņas) ir atļautas tikai tad, ja tās ir atzītas par kādu no šādiem atkritumiem atbilstoši Ministru kabineta 2011.gada 19.aprīļa Noteikumiem Nr. 302 "Noteikumi par atkritumu klasifikatoru un īpašībām, kuras padara atkritumus bīstamus", attiecībā uz atkritumu sarakstu, un tad, ja tās nav sajaukušās ar kaitīgiem notekūdeņiem vai dūņām ārpus noteiktā ražošanas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020305 notekūdeņu vietējā attīrīšanā radušās dūņas, sagatavojot un pārstrādājot augļus, dārzeņus, graudaugus, pārtikas eļļas, kakao, kafiju, tēju un tabaku, konservējot, ražojot raugu un rauga ekstraktu, sagatavojot un raudzējot melasi;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020403 dūņas no cukura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020502 dūņas no piena produktu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020603 dūņas no maizes ceptuvēs un konditorejas izstrādājumu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020705 dūņas no alkoholisko un bezalkoholisko dzērienu (izņemot kafiju, tēju un kakao)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BĪSTAMĀS VIELAS MĒSLOŠANĀ IZMANTOJAMAJOS AUGSNES IELABOŠANAS 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Maksimālajai smago metālu koncentrācijai atkritumos pirms pārstrādes (mg/kg saussvara) ir jāatbilst turpmāk norādītajām prasībām attiecībā uz bīstamajām vielām. Šajā tabulā iekļauto elementu saturam galaproduktā ir jābūt mazākam par tajā norādīto saussvaru.</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Saussvars</w:t>
                  </w:r>
                  <w:r w:rsidR="00000000" w:rsidRPr="00000000" w:rsidDel="00000000">
                    <w:rPr>
                      <w:i w:val="1"/>
                      <w:rtl w:val="0"/>
                    </w:rPr>
                    <w:t xml:space="preserve"> (mg/kg)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Dati par šo elementu klātbūtni ir nepieciešami tikai attiecībā uz produktiem, kas satur vielas no rūpnieciskiem procesiem.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FIZIKĀLIE PIEJAUKUMI MĒSLOŠANĀ IZMANTOJAMAJOS AUGSNES IELABOŠANAS 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Galaproduktā stikla, metāla un plastmasas saturam (visu elementa summai) ir jābūt mazākam par 0,5 procenti saussvara.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SLĀPEKLIS (N) MĒSLOŠANĀ IZMANTOJAMAJOS AUGSNES IELABOŠANAS 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saturs produktā nedrīkst pārsniegt 3 procenti no kopējā N (pēc svara) daudzuma, un neorganiskais N nedrīkst pārsniegt 20 procenti no kopējā N daudzuma (vai organiskais N ≥ 80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MĒSLOŠANĀ IZMANTOJAMO AUGSNES IELABOŠANAS LĪDZEKĻU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Produktiem nedrīkst būt negatīva ietekme uz augu dīdzību un turpmāko augšanu un attīstību, un masas sausnas saturam ir jābūt ne zemākam par 25 procenti, kā arī masas sausnai ir jāsatur ne mazāk kā 20 procenti organisko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VESELĪBAS UN DROŠĪBAS ASPEKTI ATTIECĪBĀ UZ MĒSLOŠANĀ IZMANTOJAMAJIEM AUGSNES IELABOŠANAS LĪDZEKĻIEM</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 nedrīkst saturēt zemāk norādīto primāro patogēnu maksimālo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salmonella: nekonstatē 25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helmintu oliņas: nekonstatē 1,5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E.coli: &lt;1000 MPN/g (MPN: most probable number – varbūtīgākais skaits)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4.1.3. ZPI prasības un kritēriji apūdeņošanas (laistīšanas) sistēmām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Automātisko apūdeņošanas (laistīšanas) sistēmu iepirkšana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APŪDEŅOŠANAS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Apūdeņošanas sistēmai ir jābūt pielāgojamai izlaistītā ūdens daudzuma ziņā pa zonām.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Apūdeņošanas sistēmai ir jābūt ar regulējamiem taimeriem laistīšanas perioda programmēšanai.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Apūdeņošanas sistēmai ir jābūt ar higrometriem, kas mēra augsnes mitruma līmeni un automātiski bloķē apūdeņošanu, kad augsnes mitruma līmenis ir pietiekams (piemēram, pēc lietus).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 VIETĒJI PĀRSTRĀDĀTIEM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ja apūdeņošanas sistēma var savākt un izmantot ūdeni no vietēji pārstrādātiem resursiem, piemēram, lietus ūdens, gruntsūdens un filtrēta sadzīves notekūdens.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4.1.4. ZPI prasības un kritēriji dārzkopības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tehnikas ar samazinātu ietekmi uz vidi iepirkšana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DEGVIELAS VEIDI IEKĀRTĀM, KURĀS IR IZMANTOTS IEKŠDEDZES DZINĒJS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iekārtai ir iekšdedzes dzinējs, tas projektēts tā, lai to var darbināt ar vienu vai vairākiem šādiem degvielas veidiem: bezsvina degviela ar benzīna saturu &lt;1,0 procenti tilpuma, alkilāta degviela, A klases dīzeļa eļļa vai uz biodegvielu balstīta motora degviela.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trokšņa emisijas līmenim ir jābūt zemākam par tabulā norādīto trokšņa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Zālāju pļaujmašīnām (iesk. zālāja traktorus):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Pļaušanas platums L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&lt; L ≤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&gt;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Skarifikatoriem: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dzinēja tīrā nominālā jauda P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99+ 2 lgP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Krūmgriežiem: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dzinēja tīrā nominālā jauda P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1,5kW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Ķēdes zāģiem: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Tīrā nominālā jauda P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+ 2 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Vieglajām motorizkaptīm ar auklu:</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Vieglajām motorizkaptīm un dzīvžogu šķērēm: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Lapu savācējiem: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Lapu pūtējiem: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dzinējs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Izkapts pļāvējiem: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Tīrā nominālā jauda P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1,5kW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Frēzēm-kapļiem un rotējošām zemes frēzēm: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pieļaujamais jaudas skaņas līmenis LWA (dB/1pW)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DZINĒJA SMĒRVIELAS UN DEGVIELA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Iekārtās ir jābūt iespējām izmantot bioloģiski noārdāmas dzinēja smēreļļas (divtaktu motoriem) vai reģenerētās dzinēja smēreļļas (četrtaktu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Degvielas patēriņš četrtaktu dzinējā, kas darbojas ar 50 procenti noslogojumu, nedrīkst būt lielāks kā 500-g/kWh degvielas, mērot saskaņā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IEKĀRTU MATERIĀLI UN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Iekārtu dizainam ir jābūt tādam, lai tajā varētu iepildīt degvielu un to iztīrīt, neradot degvielas noplūdi. Parastas iekārtas tīrīšanas laikā no tās nedrīkst sūkties eļļa un dzinējam ir jābūt tādam, lai eļļu tajā varētu nomainīt, neradot noplūdi.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Plastmasas detaļām, kas sver vairāk par 50 g, ir jābūt marķētām atbilstoši piemērojamiem standartiem. Šī prasība neattiecas uz elektrības kabeļiem.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Plastmasas materiāli nedrīkst saturēt kadmiju, svinu, dzīvsudrabu vai to savienojumus.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Virsmas apstrādes līdzekļi nedrīkst saturēt krāsas vai piedevas, kuru pamatsastāvā ir kadmijs, svins, dzīvsudrabs vai to 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zemāk minētajiem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TROKŠŅA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kuru trokšņa emisija ir zemāka par specifikācijā noteikto maksimālo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GĀZU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kuru izplūdes gāzu emisijas apjoms ir mazāks nekā noteikts Ministru kabineta 2005.gada 27.decembra noteikumos Nr.1047 "Noteikumi par autoceļiem neparedzētās mobilās tehnikas iekšdedzes motoru radīto piesārņojošo vielu emisiju gaisā"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4.1.5. ZPI prasības iekārtu smēreļļām </w:t>
      </w:r>
      <w:r w:rsidR="00000000" w:rsidRPr="00000000" w:rsidDel="00000000">
        <w:rPr>
          <w:i w:val="1"/>
          <w:rtl w:val="0"/>
        </w:rPr>
        <w:t xml:space="preserve">(izņemot smērvielas četrtaktu dzinējiem)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Smērvielu, kas bioloģiski noārdās, iepirkšana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ATJAUNOJAMĀS IZEJVIELAS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Formulētajam produktam ir jāsatur ogleklis, kas iegūts no atjaunojamiem izejmateriāliem (iegūts no augu eļļām vai dzīvnieku taukiem)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50 procenti (m/m) hidrauliskajām eļļām;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45 procenti (m/m) taukiem;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70 procenti (m/m) ķēdes zāģu eļļām un citām caurplūdes smērvielām;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50 procenti (m/m) divtaktu eļļām.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APDRAUDĒJUMI VIDEI UN CILVĒKA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Produktam nedrīkst būt piešķirtas R frāzes, kas norāda par apdraudējumu videi un cilvēka veselībai saskaņā ar Eiropas Parlamenta un Padomes 2008. gada 16. decembra Regulu Nr. 1272/2008 par vielu un maisījumu klasificēšanu, marķēšanu un iepakošanu un ar ko groza un atceļ direktīvas 67/548/EEK un 1999/45/EK un groza regulu (EK) Nr. 1907/2006. Uz šo produktu grupu attiecas šādas R vai H frāzes: R20 (H332), R21 (H312), R22 (H302), R23 (H330 un H331), R24 (H311), R25 (H301), R26 (H330), R27 (H310), R28 (H300), R33 (H373), R34 (H314), R35 (H314), R36 (H319), R37 (H335), R38 (H315), R39 (H370), R40 (H351), R41 (H318), R42 (H334), R43 (H317), R45 (H350), R46 (H340), R48 (H372 &amp; H373), R49 (H350i), R50 (H400), R51 (H411), R52 (H412), R53 (H413), R59 (EUH059), R60 (H360F), R61 (H360D un H360FD), R62 (H361f, H360FD un H360Df), R63 (H361d &amp; H360Fd), R64 (H362), R65 (H304), R66 (EUH066), R67 (H336), R68 (H371) un to apvienojums.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4.2. Dārzkopības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kad par dārzkopības pakalpojumu izpildi tiek slēgts līgums, tiek ieteiktas prasības un kritēriji gan attiecībā uz izmantojamajiem produktiem, gan praksi attiecībā uz pakalpojumu sniegšanu. Vienlaikus ar tehniskajām specifikācijām ir sniegti ieteikumi par līguma noteikumiem, kurus nevar novērtēt iepirkuma procedūras laikā. Tādēļ līguma vadības laikā būs nepieciešami īpaši uzraudzības pasākumi.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4.2.1. ZPI prasības un kritēriji dārzkopības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Dārzkopības pakalpojumi, kuros tiek izmantoti produkti un prakses ar samazinātu ietekmi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MĒSLOŠANĀ IZMANTOJAMO AUGSNES IELABOŠANAS LĪDZEKĻU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Augsnes ielabošanas līdzekļi, ko paredzēts izmantot pakalpojumu veikšanas laikā, nedrīkst saturēt kūdru vai notekūdeņu dūņas.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Augsnes ielabošanas līdzekļu sastāvā esošajām organiskajām vielām ir jābūt iegūtām no atkritumu pārstrādes un/vai atkārtotas izmantošanas (kā noteikts Ministru kabineta 2011.gada 26.aprīļa noteikumos Nr.319 "Noteikumi par atkritumu reģenerācijas un apglabāšanas veidiem" un to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Dūņas (izņemot kanalizācijas dūņas) ir atļautas tikai tad, ja tās ir atzītas par kādu no šādiem atkritumiem atbilstoši Ministru kabineta 2011. gada 19. aprīļa noteikumiem Nr. 302 "Noteikumi par atkritumu klasifikatoru un īpašībām, kuras padara atkritumus bīstamus" attiecībā uz atkritumu sarakstu, un ja tās nav sajaukušās ar kaitīgiem notekūdeņiem vai dūņām ārpus noteiktā ražošanas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020305 notekūdeņu vietējā attīrīšanā radušās dūņas, sagatavojot un pārstrādājot augļus, dārzeņus, graudaugus, pārtikas eļļas, kakao, kafiju, tēju un tabaku, konservējot, ražojot raugu un rauga ekstraktu, sagatavojot un raudzējot melasi;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020403 dūņas no cukura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020502 dūņas no piena produktu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020603 dūņas no maizes ceptuvēs un konditorejas izstrādājumu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020705 dūņas no alkoholisko un bezalkoholisko dzērienu (izņemot kafiju, tēju un kakao) ražošanas procesā radušos kaitīgo notekūdeņu vietējās attīrīšanas.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BĪSTAMĀS VIELAS MĒSLOŠANĀ IZMANTOJAMAJOS AUGSNES IELABOŠANAS 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Maksimālajai smago metālu koncentrācijai atkritumos pirms pārstrādes (mg/kg saussvara) ir jāatbilst zemāk norādītajām prasībām attiecībā uz bīstamajām vielām. Šajā tabulā iekļauto elementu saturam galaproduktā ir jābūt mazākam par tajā norādīto saussvaru.</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2239"/>
              <w:gridCol w:w="419"/>
              <w:gridCol w:w="2143"/>
              <w:gridCol w:w="2239"/>
              <w:tblGridChange w:id="0">
                <w:tblGrid>
                  <w:gridCol w:w="2143"/>
                  <w:gridCol w:w="2239"/>
                  <w:gridCol w:w="419"/>
                  <w:gridCol w:w="2143"/>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Saussvars (mg/kg)</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Saussvars (mg/kg)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Dati par šo elementu klātbūtni nepieciešami tikai attiecībā uz produktiem, kas satur vielas no rūpnieciskiem procesiem.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SMĒRVIELAS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Smēreļļām, ko paredzēts izmantot pakalpojumu sniegšanā, ir jābūt bioloģiski noārdāmām, un tās nedrīkst būt toksiskas. Tādēļ smērvielām ir jāsatur ogleklis, kas iegūts no atjaunojamiem izejmateriāliem (iegūts no augu eļļām vai dzīvnieku taukiem)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50 procenti (m/m) hidrauliskajām eļļām;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45 procenti (m/m) taukiem;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3.3.70 procenti (m/m) ķēdes zāģu eļļām un citām caurplūdes smērvielām;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3.4.50 procenti (m/m) divtaktu eļļām.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un ūdens izmantošanas pārvaldīšanas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jānodrošina maksimāla nedzeramā ūdens (lietus ūdens, gruntsūdens vai otrreizējas izmantošanas ūdens)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jāizmanto mulčēšana, lai izvairītos no iztvaikošanas vietās, ko norādījis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jāizmanto automātiskas apūdeņošanas sistēmas, kā norādījis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jāiesniedz periodiski pārskati par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AUTOMĀTISKĀS APŪDEŅOŠANAS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Automātiskajām apūdeņošanas sistēmām ir jāatbilst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tām jābūt pielāgojamām izlaistītā ūdens daudzuma ziņā pa zonām;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tām jābūt ar regulējamiem taimeriem laistīšanas perioda programmēšanai;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tām jābūt ar higrometriem, kas mēra augsnes mitruma līmeni un automātiski bloķē apūdeņošanu, kad augsnes mitruma līmenis ir pietiekams (piemēram, pēc lietus);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ja pasūtītājs uzskata par nepieciešamu, tām jāizmanto ūdens no vietēji pārstrādātiem resursiem, kas apvieno lietus ūdeni, gruntsūdeni un filtrētu sadzīves notekūdeni.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Dārzkopības pakalpojumu sniegšanas laikā radušos atkritumus ir jāvāc šādi šķirojot: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visi organiskie atkritumi (sausās lapas, apgrieztie zari, zāle) ir jākompostē uz vietas, uzņēmuma teritorijā vai slēdzot līgumu ar atkritumu pārstrādes uzņēmumu;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koksni saturoši organiskie atkritumi no zariem utt. ir jāsasmalcina uz vietas uzņēmuma teritorijā un jāizmanto mulčēšanā iepriekš saskaņotās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iepakojuma atkritumi ir jāšķiro atbilstoši pastāvošajam pilsētas atkritumu sadalījumam un jāievieto attiecīgajos ielas konteineros (papīrs, plastmasa utt.). Tomēr bīstamu vielu, piemēram, augu aizsardzības līdzekļu iepakojums ir jāiznīcina drošā veidā, sertificētos savākšanas punktos vai nododot pilnvarotam atkritumu savācējam turpmākai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motoreļļas ir jāsavāc un jāpārstrādā pilnvarotam atkritumu savākšanas uzņēmumam;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ja dārza tehnika ir nenovēršami sabojājusies, piegādātājam ir jānorāda šīs iekārtas nosūtīšanas galamērķis.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PERIODISKI 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gadā ir jāsagatavo ziņojums, lai sniegtu informāciju par pakalpojumu sniegšanas laikā patērēto enerģiju, mēslošanas līdzekļu nosaukumu un daudzumu, izmantotajiem augu aizsardzības līdzekļiem un smēreļļām, radīto atkritumu daudzumu, klasificējot pēc to veidiem un galamērķiem, kā arī informāciju par visiem citiem ar pakalpojumu sniegšanu saistītajiem pasākumiem, kas noteikti līgumā (pasākumi ūdens patēriņa samazināšanai, iepakojuma samazināšanai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INVAZĪVIE AUGI UN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jebkuriem augiem vai dzīvniekiem, kas varētu būt invazīvi, ir nekavējoties jāziņo pasūtītājam un jāveic atbilstoši pasākumi, kas saskaņoti ar pasūtītāju.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AIZSARDZĪBA PRET KAITĒKĻIEM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augu slimību apkarošanā ķīmisko augu aizsardzības līdzekļu izmatošana ir jāsamazina, izmantojot alternatīvus paņēmienus (piemēram, termisku, mehānisku vai bioloģisku apstrādi).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 DEKORATĪVIE 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bioloģiski audzētu dekoratīvo augu izmantošanu.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DIENESTA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ko paredzēts izmantot pakalpojumu sniegšanā, ir jāatbilst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Ministru kabineta 2009. gada 22. decembra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Dārzkopības darbiniekiem ir jābūt apguvušiem dārzkopības paņēmienus, kam ir mazāka ietekme uz vidi, kas jāizmanto pakalpojumu sniegšanas laikā. Tas attiecas uz tādiem jautājumiem kā ūdens un enerģijas taupīšana, atkritumu samazināšana, apsaimniekošana un šķirošana, no atjaunojamām izejvielām izgatavotu produktu izmantošana, rīkošanās ar ķimikālijām un konteineriem, kā arī to lietošana, droša, likumīga pesticīdu, ieskaitot herbicīdus, lietošana, t.sk. izvairīšanās no rezistences pret pesticīdiem utt. Apmācība būtiskos jautājumos, ieskaitot ķimikāliju izmantošanu, ir jānodrošina, pirms darbiniekiem tiek atļauts veikt šāda veida darbu.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Elektroenerģija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elektroenerģijas iegādi, un galvenais šo kritēriju mērķis ir veicināt tādas elektroenerģijas lielāku izmantošanu, ko iegūst no atjaunojamiem avotiem </w:t>
      </w:r>
      <w:r w:rsidR="00000000" w:rsidRPr="00000000" w:rsidDel="00000000">
        <w:rPr>
          <w:i w:val="1"/>
          <w:rtl w:val="0"/>
        </w:rPr>
        <w:t xml:space="preserve">(RES-E).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prasību un kritēriju specifikācijas attiecas uz tās elektroenerģijas īpatsvaru, ko nodrošina atjaunojamie enerģijas avoti (ieteicamais apjoms vismaz 50 procenti). Prasības un kritēriji atļauj izmantot arī augstas efektivitātes siltuma un elektroenerģijas koģenerāciju no neatjaunojamiem enerģijas avotiem. Piešķiršanas kritēriju mērķis ir veicināt, lai atjaunojamie enerģijas avoti vai arī augstas efektivitātes koģenerācija veidotu vēl lielāku īpatsvaru, kas pārsniegtu specifikācijā paredzēto minimumu.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ZPI prasības un kritēriji elektroenerģijai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iegāde, kur vismaz 50 procenti enerģijas nodrošina atjaunojamie enerģijas avoti (</w:t>
            </w:r>
            <w:r w:rsidR="00000000" w:rsidRPr="00000000" w:rsidDel="00000000">
              <w:rPr>
                <w:i w:val="1"/>
                <w:rtl w:val="0"/>
              </w:rPr>
              <w:t xml:space="preserve">RES-E</w:t>
            </w:r>
            <w:r w:rsidR="00000000" w:rsidRPr="00000000" w:rsidDel="00000000">
              <w:rPr>
                <w:rtl w:val="0"/>
              </w:rPr>
              <w:t xml:space="preserve">) un/vai augstas efektivitātes koģenerācija.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ELEKTROENERĢIJAS IEGUVES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procenti no piegādātās elektroenerģijas jābūt elektroenerģijai, kas iegūta no atjaunojamiem enerģijas avotiem (</w:t>
            </w:r>
            <w:r w:rsidR="00000000" w:rsidRPr="00000000" w:rsidDel="00000000">
              <w:rPr>
                <w:i w:val="1"/>
                <w:rtl w:val="0"/>
              </w:rPr>
              <w:t xml:space="preserve">RES-E</w:t>
            </w:r>
            <w:r w:rsidR="00000000" w:rsidRPr="00000000" w:rsidDel="00000000">
              <w:rPr>
                <w:rtl w:val="0"/>
              </w:rPr>
              <w:t xml:space="preserve">) un/vai izmantojot augstas efektivitātes koģenerāciju, kā noteikts Ministru kabineta 2016. gada 17. maija noteikumos Nr. 294 "Koģenerācijas staciju saražotās primārās enerģijas ietaupījuma aprēķināšanas kārtība".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papildus </w:t>
            </w:r>
            <w:r w:rsidR="00000000" w:rsidRPr="00000000" w:rsidDel="00000000">
              <w:rPr>
                <w:i w:val="1"/>
                <w:rtl w:val="0"/>
              </w:rPr>
              <w:t xml:space="preserve"> RES-E</w:t>
            </w:r>
            <w:r w:rsidR="00000000" w:rsidRPr="00000000" w:rsidDel="00000000">
              <w:rPr>
                <w:rtl w:val="0"/>
              </w:rPr>
              <w:t xml:space="preserve"> un/vai augstas efektivitātes koģenerāciju.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 punktus piešķirs proporcionāli no atjaunojamiem enerģijas avotiem iegūtajam elektroenerģijas daudzumam, kas pārsniedz specifikācijās norādīto minimālo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punktus piešķirs proporcionāli augstas efektivitātes koģenerācijā iegūtajam elektroenerģijas daudzumam, kas pārsniedz specifikācijās norādīto minimālo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līguma darbības gada beigās pretendentam ir jāatklāj pasūtītājam piegādātās elektroenerģijas izcelsme, lai pierādītu, ka vismaz 50 procenti ir iegūti no atjaunojamiem enerģijas avotiem un izmantojot augstas efektivitātes koģenerāciju.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Klozetpodi un pisuāri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attiecināmi uz klozetpodu iekārtu, tostarp kompaktpodu, klozetpodu tvertņu un klozetpodu skalošanas sistēmu, un pisuāru iekārtu, tostarp kompaktpisuāru, pisuāru, bezūdens pisuāru un pisuāru skalošanas sistēmu, iepirkumiem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klozetpodiem un pisuāriem neattiecas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klozetpodu sēdekļiem un vākiem, ja tos laiž tirgū un/vai tirgo kā savrupu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klozetpodu iekārtām, kurās neizmanto ūdeni, bet kuru skalošanas sistēmā izmanto ķīmiskas vielas un ūdeni, un klozetpodiem, kuru skalošanas sistēmā jāizmanto enerģija.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6.1. ZPI prasības un kritēriji klozetpodu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izmantošanas ziņā efektīvu klozetpodu iekārtu iegāde jaunām vai atjaunotām ēkām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EFEKTĪVS ŪDENS IZMANTOJUMS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Pilns skalošanas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klozetpoda iekārtas pilnais skalošanas apjoms, iekārtai nonākot tirgū, neatkarīgi no ūdens spiediena nav lielāks par 6,0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Taupīgs ūdens izmantojums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kompaktpodi ar pilnu skalošanas apjomu, kas pārsniedz 4,0 litrus, gan klozetpodu skalošanas sistēmas ir aprīkoti ar ūdens taupīšanas ierīci. Tos laižot tirgū, samazināts skalošanas apjoms, ko panāk, darbinot ūdens taupīšanas ierīci, neatkarīgi no ūdens spiediena nepārsniedz 3,0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Klozetpoda tvertnēs var izmantot ūdens taupīšanas ierīci, kurā samazināts skalošanas apjoms, ko panāk, darbinot ūdens taupīšanas ierīci, neatkarīgi no ūdens spiediena nepārsniedz 3,0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Regulējams skalošanas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sistēmas ir aprīkotas ar regulētājierīci, kas ļauj personai, kura veic uzstādīšanu, regulēt skalošanas apjomu, ņemot vērā kanalizācijas sistēmas vietējos apstākļus. Pilns skalošanas apjoms pēc regulēšanas pabeigšanas saskaņā ar uzstādīšanas norādījumiem nepārsniedz 6 l vienā noskalošanas reizē vai 4 l vienā noskalošanas reizē, ja kompaktpods nav aprīkots ar ūdens taupīšanas ierīci, un samazināts skalošanas apjoms pēc regulēšanas pabeigšanas saskaņā ar uzstādīšanas norādījumiem nepārsniedz 3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PRODUKTA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Skalošanas sistēmām izvirzītās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sistēmas 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Skalošanas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Kompaktpodu un klozetpoda tvertņu skalošanas raksturlielumi 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PRODUKTA LIETOŠANAS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Klozetpodu skalošanas iekārtai ir vismaz četru gadu remonta vai nomaiņas garantija. Garantijas nosacījumi skaidri paredz, ka tā attiecas uz produkta hermētiskumu un jebkuru vārstu. Pieteikuma iesniedzējs turklāt nodrošina, lai oriģinālās vai tām līdzvērtīgas rezerves daļas būtu pieejamas vismaz desmit gadus no produkta iegādes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UZSTĀDĪŠANAS NORĀDĪJUMI/ LIETOŠANAS INSTRUKCIJA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Klozetpoda skalošanas iekārtai tiek nodrošināta turpmāk minētā informācija drukātā veidā (uz produkta iepakojuma un/vai tam pievienotajā dokumentācijā) un/vai elektroniskā formātā.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Atbilstoši uzstādīšanas norādījumi, tostarp informācija par to, attiecībā uz kādu(-ām) klasi(-ēm) un/vai veidu(-iem) produkts ir testēts, informācija par to, kādiem konkrētiem darba spiedieniem šis produkts ir paredzēts, informācija par to, ar kāda veida kanalizācijas sistēmām šo produktu var izmantot, informācija par to, kā regulēt skalošanas apjomu un tā ietekmi (piemēram, attiecībā uz atlikušo ūdens līmeni, uzpildes ūdens līmeni utt.), un, gadījumā, ja klozetpoda tvertnes un klozetpoda skalošanas sistēmas tirgū tiek laistas atsevišķi, informācija par to, ar kādiem produktiem tās ir jākombinē, lai veidotu pilnībā funkcionējošu un ūdens izmantošanas ziņā efektīvu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Padomi, kā, racionāli izmantojot ūdeni, var cik vien iespējams samazināt ietekmi uz vidi, jo īpaši informācija par atbilstošu produkta lietošanu, lai cik vien iespējams samazinātu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Informācija par pilnu un samazinātu skalošanas apjomu, izteiktu litros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Ieteikumi par atbilstošu produkta lietošanu un apkopi, tostarp informācija par to, kuras rezerves daļas var nomainīt, norādījumi par starpliku un citas armatūras nomaiņu, ja produktā ir noplūde, tīrīšanas ieteikumi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Informācija par atbilstošu pārstrādi pēc produkta aprites cikla beigām.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turpmāk minēto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 TAUPĪGS ŪDENS IZMANTOJUMS PILNAI SKALOŠANAI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katru 0,5 litru ūdens papildu ietaupījumu pilnam skalošanas apjomam, kā noteikts 1.1.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TAUPĪGS ŪDENS IZMANTOJUMS SAMAZINĀTAI SKALOŠANAI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katru 0,25 litru ūdens papildu ietaupījumu samazinātam skalošanas apjomam, kā noteikts 1.2.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HIGIĒNA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bezkontakta (ar sensoru aprīkotu) skalošanas kontrolsviru, kas nepieļauj nevajadzīgu mehānisma iedarbināšanu un nodrošina skalošanu tikai pēc produkta faktiskās lietošanas.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6.2 ZPI prasības un kritēriji pisuāru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izmantošanas ziņā efektīvu pisuāru iekārtu iegāde jaunām vai atjaunotām ēkām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PISUĀRU SKALOŠANAS IEKĀRTU EFEKTĪVS ŪDENS IZMANTOJUMS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Pilns skalošanas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pisuāra skalošanas iekārtas pilnais skalošanas apjoms, iekārtai nonākot tirgū, neatkarīgi no ūdens spiediena nav lielāks kā 2,0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Taupīgs ūdens izmantojums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Kompaktpisuāros un pisuāru skalošanas sistēmās ir uzstādīta atsevišķos gadījumos izmantojama skalošanas kontrolsvira pēc pieprasījuma. Ar skalošanas sistēmu aprīkotos plākšņveida pisuāros ir atsevišķi lietojama skalošanas kontrolsvira pēc pieprasījuma, kas regulē noskalojumu uz nepārtrauktās sienas ne vairāk kā 60 cm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Pisuāros drīkst lietot atsevišķos gadījumos izmantojamu skalošanas kontrolsviru pēc pieprasījuma. Plākšņveida pisuāros, kas nav aprīkoti ar skalošanas sistēmu, liek atsevišķos gadījumos izmantojamu skalošanas kontrolsviru pēc pieprasījuma, kas jānovieto uz nepārtrauktās sienas ne vairāk kā 60 cm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Regulējams skalošanas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sistēmas ir aprīkotas ar regulētājierīci, kas ļauj personai, kura veic uzstādīšanu, regulēt skalošanas apjomu, ņemot vērā kanalizācijas sistēmas vietējos apstākļus. Pilns skalošanas apjoms pēc regulēšanas pabeigšanas saskaņā ar uzstādīšanas norādījumiem nepārsniedz 2 l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PRODUKTA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Pisuāru skalošanas sistēmām izvirzītās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sistēmas atbilst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Kompaktpisuāru un pisuāru skalošanas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Kompaktpisuāru un pisuāru skalošanas raksturlielumi atbilst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Bezūdens pisuāru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pisuāri atbilst Komisijas lēmuma (2013/641/ES) "Par ekoloģiskajiem kritērijiem ES ekomarķējuma piešķiršanai klozetpodiem un pisuāriem" 2. papildinājumā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PRODUKTA LIETOŠANAS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Pisuāra skalošanas iekārtai ir vismaz piecu gadu remonta vai nomaiņas garantija. Garantijas nosacījumi skaidri paredz, ka tā attiecas attiecas uz produkta hermētiskumu un jebkuru vārstu. Piegādātājs turklāt nodrošina, lai oriģinālās vai tām līdzvērtīgas rezerves daļas būtu pieejamas vismaz desmit gadus no produkta iegādes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ŠĶĪDUMA BIOLOĢISKĀ NOĀRDĪŠANĀS UN BEZŪDENS PISUĀRU APKOPE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pisuāros izmanto vieglu bioloģiski noārdošos šķīdumu, vai arī tie darbojas pilnīgi bez tā. Turklāt piegādātājam jāprecizē bezūdens pisuāriem nepieciešamais apkopes režīms, tostarp attiecīgā gadījumā informācija par kasetes nomaiņas laika skalu, un jānorāda pakalpojuma sniedzēju saraksts šo produktu regulāras apkopes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UZSTĀDĪŠANAS NORĀDĪJUMI/ LIETOŠANAS INSTRUKCIJA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Pisuāru skalošanas iekārtai tiek nodrošināta turpmāk minētā informācija drukātā veidā (uz produkta iepakojuma un/vai tam pievienotajā dokumentācijā) un/vai elektroniskā formātā.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Atbilstoši uzstādīšanas norādījumi, tostarp informācija par to, attiecībā uz kādu (-ām) klasi (-ēm) un/vai veidu (-iem) produkts ir testēts, informācija par to, kādiem konkrētiem darba spiedieniem šis produkts ir paredzēts, informācija par to, ar kāda veida kanalizācijas sistēmām šo produktu var izmantot, informācija par to, kā regulēt pilnu skalošanas apjomu un tā ietekmi (piemēram, attiecībā uz atlikušo ūdens līmeni, uzpildes ūdens līmeni utt.), un, gadījumā, ja pisuāri un pisuāru skalošanas sistēmas tirgū tiek laisti atsevišķi, informācija par to, ar kādiem produktiem tie ir jākombinē, lai veidotu pilnībā funkcionējošu un ūdens izmantošanas ziņā efektīvu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Padomi, kā, racionāli izmantojot ūdeni, var cik vien iespējams samazināt ietekmi uz vidi, jo īpaši informācija par atbilstošu produkta lietošanu, lai cik vien iespējams samazinātu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Informācija par pilnu skalošanas apjomu, izteiktu litros vienā noskalošanas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Ieteikumi par atbilstošu produkta lietošanu un apkopi, tostarp padomi par produktu lietošanu un apkopi, informācija par to, kuras rezerves daļas ir nomaināmas, norādījumi par starpliku un citas armatūras nomaiņu, ja produktā ir noplūde, tīrīšanas ieteikumi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Informācija par atbilstošu pārstrādi pēc produkta aprites cikla beigām.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turpmāk minēto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 TAUPĪGS ŪDENS IZMANTOJUMS SKALOŠANAI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katru 0,25 litru ūdens papildu ietaupījumu pilnam skalošanas apjomam, kā noteikts 1.1.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HIGIĒNA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bezkontakta (ar sensoru aprīkotu) skalošanas kontrolsviru, kas nepieļauj nevajadzīgu mehānisma iedarbināšanu un nodrošina skalošanu tikai pēc produkta faktiskās lietošanas.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Koģenerācijas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Koģenerācija ir vienlaicīga siltumenerģijas un elektroenerģijas un/vai mehāniskās enerģijas ražošana. Prasības attiecas uz koģenerācijas iekārtām, t. i., iekārtām, kuras var darboties koģenerācijas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prasības attiecas uz dažāda izmēra koģenerācijas iekārtām, t. i., mazām vai mikroiekārtām, piemēro šādas definīcijas: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mikrokoģenerācijas iekārta ir koģenerācijas iekārta, kuras maksimālā jauda ir mazāka par 50 kWe;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mazas jaudas koģenerācijas iekārta ir koģenerācijas iekārta, kuras uzstādītā jauda ir mazāka par 1 MWe.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7.1. ZPI prasības koģenerācijas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Efektīvas koģenerācijas iekārtas vai stacijas iepirkums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IEKĀRTAS KOPĒJĀS EFEKTIVITĀTES MINIMUMS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enerģijas efektīvu pārveidošanu siltumenerģijā vai elektroenerģijā, iekārtas kopējās efektivitātes minimums ir 75 procenti vai lielāks saskaņā ar Ministru kabineta 2016. gada 17. maija noteikumiem Nr. 294 "Koģenerācijas staciju saražotās primārās enerģijas ietaupījuma aprēķināšanas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PRASĪBAS AUGSTAS EFEKTIVITĀTES KOĢENERĀCIJAI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Koģenerācijas stacija atbilst turpmāk izklāstītajām prasībām augstas efektivitātes koģenerācijai, ja saskaņā ar spēkā esošajiem normatīvajiem aktiem aprēķinātais primāro energoresursu ietaupījums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1 % koģenerācijas stacijai, kurā uzstādītā elektroenerģijas ražošanas jauda nav lielāka par vienu megavatu;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10 % pārējām koģenerācijas stacijām.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Mēbeles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aptver </w:t>
      </w:r>
      <w:r w:rsidR="00000000" w:rsidRPr="00000000" w:rsidDel="00000000">
        <w:rPr>
          <w:u w:val="single"/>
          <w:rtl w:val="0"/>
        </w:rPr>
        <w:t xml:space="preserve">iekštelpu mēbeles</w:t>
      </w:r>
      <w:r w:rsidR="00000000" w:rsidRPr="00000000" w:rsidDel="00000000">
        <w:rPr>
          <w:rtl w:val="0"/>
        </w:rPr>
        <w:t xml:space="preserve"> darbam, piemēram, birojiem un skolām, kā arī mājsaimniecībām. Prasības un kritēriji neietver būvniecības izstrādājumus (piemēram, kāpnes, sienas, ciļņus, paneļus), sanitārtehniku, paklājus, tekstilizstrādājumus, biroja preces un citus produktus, kuru sākotnējais uzdevums nav kalpot kā mēbelei.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aptver tādas </w:t>
      </w:r>
      <w:r w:rsidR="00000000" w:rsidRPr="00000000" w:rsidDel="00000000">
        <w:rPr>
          <w:u w:val="single"/>
          <w:rtl w:val="0"/>
        </w:rPr>
        <w:t xml:space="preserve">āra mēbeles</w:t>
      </w:r>
      <w:r w:rsidR="00000000" w:rsidRPr="00000000" w:rsidDel="00000000">
        <w:rPr>
          <w:rtl w:val="0"/>
        </w:rPr>
        <w:t xml:space="preserve"> kā soli, galdi un krēsli, izņemot citus produktus, kuru sākotnējais uzdevums nav kalpot kā mēbelei (ielu lampas, aprīkojums velosipēdu novietošanai, rotaļu laukumi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Piedāvātās prasības un kritēriji attiecas uz materiāliem, kurus mēbeļu ražošanā izmanto visbiežāk (koksne un koksnes materiāli, metāli, plastmasa, polsterējums un audumi), kā arī uz pārklājumiem un savienotājiem/līmēm, ko izmanto produkta salikšanai un iepakošanai.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8.1. ZPI prasības un kritēriji mēbelēm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Mēbeles, kas ražotas, izmantojot videi draudzīgus materiālus un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KOKSNE UN KOKSNES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Visai koksnei un koksnes materiāliem ir jānāk no likumīgas izcelsmes koksnes.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FORMALDEHĪDA EMISIJAS NO KOKSNES MATERIĀLU PLĀTNĒM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(Šo prasību piemēro neatkarīgi no koksnes materiālu plātņu masas daļas mēbeļu izstrādājumā.)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Formaldehīda emisijas no visām koksnes materiālu plātnēm, kuras piegādātas tādā formā, kādā tās izmanto mēbeļu izstrādājumā (proti, neapdarītas, pārklātas, aplīmētas, finierētas), un kuru ražošanā izmantoti sveķi uz formaldehīda bāzes, nepārsniedz formaldehīda emisiju E1 robežvērtības, kas noteiktas piemērojamos standartos.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PUTU VEIDOTĀJI (ATTIECAS TIKAI UZ MĪKSTAJĀM MĒBELĒM)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mēbeļu tapsēšanā izmanto putu polsterēšanas materiālus, šādu polsterēšanas materiālu izgatavošanā neizmanto halogenētus organiskos savienojumus ne kā putu veidotājus, ne kā papildu putu veidotājus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ZIŅOŠANA PAR REACH KANDIDĀTU SARAKSTA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deklarē ikvienas tādas REACH kandidātu saraksta vielas klātbūtni, kuras koncentrācija izstrādājumā un jebkurā tā detaļā/sastāvdaļā pārsniedz 0,1 % (masas). (REACH kandidātu saraksts: īpaši bīstamu kandidātu saraksta vielu saraksts licencēšanai, kas publicēts saskaņā ar Ķimikāliju reģistrēšanas, vērtēšanas, licencēšanas un ierobežošanas (REACH) regulas 59.panta 10.punktu: https://echa.europa.eu/lv/candidate-list-table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PIEMĒROTĪBA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Mēbeļu izstrādājums atbilst šādu attiecīgu EN standartu jaunākajās versijās izklāstītajām prasībām, kas var attiekties uz izstrādājuma ilgizturību, izmēriem, drošumu un stiprību, atsaucoties uz 1.pielikuma vai citos avotos minētajiem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(Pasūtītājam jānorāda atsauce uz konkrētajiem standartiem, kas visvairāk atbilst iepērkamajai mēbelei).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DEMONTĒJAMA UN REMONTĒJAMA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skaidras demontāžas un remonta instrukcijas (piem., drukātu vai elektronisku eksemplāru, video), lai mēbeļu izstrādājumu varētu nesalaužot demontēt detaļu/sastāvdaļu nomaiņas nolūkā. Nodrošina instrukciju instrukcijas izdruku, ko piegādā kopā ar izstrādājumu, un/vai elektronisku eksemplāru ražotāja tīmekļa vietnē. Demontāžas un nomaiņas operācijām jābūt tādām, lai tās varētu veikt nekvalificēts darbaspēks ar parastiem un vienkāršiem rokas darbarīkiem.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IZSTRĀDĀJUMA GARANTIJA UN REZERVES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piešķir vismaz trīs gadu garantiju, kuras termiņš sākas izstrādājuma piegādes dienā/ pieņemšanas un nodošanas akta parakstīšanas dienā. Šī garantija attiecas uz remontu vai nomaiņu un ietver pakalpojumu līgumu ar izstrādājuma aizvešanas un atvešanas vai uz vietas veikta remonta iespēju. Garantijas ietvaros tiek nodrošināta preču atbilstība līguma specifikācijām bez papildu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garantē rezerves daļu vai tādu elementu pieejamību, kam ir ekvivalenta funkcija vismaz trīs gadus, sākot no mēbeļu izstrādājuma piegādes dienas/ pieņemšanas un nodošanas akta parakstīšanas dienas. Norāda kontaktinformāciju, kas izmantojama, lai organizētu rezerves daļu piegādi.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FORMALDEHĪDA EMISIJAS NO KOKSNES MATERIĀLU PLĀTNĒM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tad, ja tiek pierādīts, ka mēbelē izmantoto visu koksnes materiālu plātņu formaldehīda emisijas līmenis nepārsniedz 65 % no E1 formaldehīda emisiju robežvērtībām, kas noteiktas piemērojamos standartos.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VIDEI DRAUDZĪGA PIEGĀDE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tiks piešķirti par tādu piegādi, kas tiks veikta noteiktā pasūtītāja paredzēta attāluma ietvaros no ražošanas vietas līdz pasūtītāja norādītajai vietai, lai maksimāli samazināt CO2 izmešus piegādes procesā (piemēram,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APRITES EKONOMIKAS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jāiesniedz plāns, kas ietver sekojošas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konkrēts redzējums turpmākai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attīstība saskaņā aprites ekonomikas principiem līguma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organizēšana un sadale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pretendentam / piegādātājam paredzētās lomas un atbildība.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Notekūdeņu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sadaļā ietvertās ZPI prasības un kritēriji ir izmantojami brīvprātīgi un tie neliedz publiskā sektora iestādēm izmantot valsts vai pašu izstrādātas pieejas attiecībā uz notekūdeņu infrastruktūras ZPI. Jāņem arī vērā, ka šīs prasības un kritēriji nekādā gadījumā neaizstāj valsts tiesību aktus un spēkā esošos valsts un starptautiskos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infrastruktūras iepirkums ir sarežģīts process. Vairumā gadījumu, lai pasūtītājs, kas organizē iepirkumu, varētu uzņemties visu iepirkuma procesu no priekšizpētes līdz piegādātāju galīgajai atlasei, tai būs vajadzīgs tehniskā atbalsta personāls ar īpašām zināšanām inženiertehnoloģiju, vides un ekonomikas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attiecas uz kanalizācijas tīklu, notekūdeņu attīrīšanas iekārtu un dūņu apstrādes iekārtu plānošanu, projektēšanu, būvniecību, ekspluatāciju un ekspluatācijas pārtraukšanu.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 </w:t>
      </w:r>
      <w:r w:rsidR="00000000" w:rsidRPr="00000000" w:rsidDel="00000000">
        <w:rPr>
          <w:rtl w:val="0"/>
        </w:rPr>
        <w:t xml:space="preserve">Lai pienācīgi sagatavotos šādam iepirkumam, vēlams iepazīties arī ar Eiropas Komisijas pasūtītā pētījuma rezultātiem, kas izklāstīti ziņojumā "Videi nekaitīga publiskā iepirkuma kritēriji notekūdeņu infrastruktūrai". Ziņojums tulkots arī latviešu valodā un pieejams lejuplādei Eiropas Komisijas ZPI tīmekļvietnē.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9.1. ZPI prasības un kritēriji notekūdeņu infrastruktūrai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nekaitīgas notekūdeņu infrastruktūras publiskais iepirkums.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9.1.1. ZPI prasības un kritēriji konsultatīvajiem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jāapraksta, kā kopumā plāno īstenot projektu, lai sasniegtu tā mērķus, jo īpaši aprakstot, kā izprot projekta vides aspektus, piemēram, tiesisko regulējumu vides jomā, vietējos vides apstākļus, ietekmes uz vidi novērtējumu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jāapraksta konkrētās metodes, kas tiks izmantotas,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noteiktu alternatīvus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aplēstu alternatīvu finansiālās ACI;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novērtētu ietekmi uz vidi, izmantojot ACA pieeju;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savāktu datus par ietekmes uz vidi vienības izmaksām, kas tiks iekļautas ACI;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salīdzinātu alternatīvas tehnoloģiskās iespējas/alternatīvas;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ORGANIZĀCIJA UN DARBA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jāapraksta tās grupas organizācija, kvalifikācija un pieredze, kas sniegs pakalpojumus.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9.1.2. ZPI prasības un kritēriji būvniecības līgumam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Piegādātāja izraudzīšanās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VIDES PĀRVALDĪBAS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Piegādātājiem ir jāiesniedz vides pārvaldības plāna projekts, aprakstot savu izpratni par vides jautājumiem, kas radīsies būvniecības laikā, un to, kādā veidā tie tiks risināti. Plānā ir jāaplūko vismaz šādi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kādi materiāli tiks izmantoti, no kurienes tie tiks iegūti un kā tie tiks nogādāti un uzglabāti objektā; īpaša uzmanība jāpievērš darbam ar bīstamiem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enerģijas un ūdens izmantošana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atkritumu samazināšana un materiālu reģenerācija/ otrreizēja izmantošana.</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Energoefektivitātes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infrastruktūrai ir jāatbilst enerģijas patēriņa un efektivitātes prasībām saistībā ar visas notekūdeņu attīrīšanas iekārtas/infrastruktūras kopējo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infrastruktūras objekta kopējais enerģijas pieprasījums nav augstāks par noteikto līmeni (indikatīvās vērtības un attiecīgos apsvērumus šā līmeņa noteikšanai skatīt tālāk minētajā paskaidrojumā):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mērvienība notekūdeņu attīrīšanas iekārtai: kWh/CE vai kWh/attīrīto notekūdeņu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mērvienība kanalizācijas sistēmai: kWh/pārvadīto notekūdeņu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mērvienība dūņu apstrādes iekārtai: kWh/dūņu tonnu vai kWh/dūņu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APMĀCĪBA PAR ENERGOEFEKTIVITĀTI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iekārtas palaišanas ekspluatācijā attiecīgajiem darbiniekiem, ieskaitot tos, kuri strādā ar tehnoloģisko aprīkojumu, ir jāiziet būvdarbu veicēja nodrošināta apmācība par piegādātās iekārtas vai aprīkojuma (atkarībā no līguma veida) energoefektivitātes pārvaldību. Apmācībā ir jāietver skaidrojums par vispārējo enerģijas patēriņa vadīšanu un uzraudzību un to, kā uzlabot energoefektivitāti, lai vajadzīgajiem procesiem pastāvīgi nodrošinātu minimālu enerģijas patēriņu.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ENERĢIJAS MAZĀKS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zemāku enerģijas patēriņu nekā noteikts tehniskajās specifikācijās, pamatojoties uz visa notekūdeņu infrastruktūras objekta kopējo enerģijas pieprasījumu.</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 Ūdens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b w:val="1"/>
                <w:rtl w:val="0"/>
              </w:rPr>
              <w:t xml:space="preserve">. </w:t>
            </w:r>
            <w:r w:rsidR="00000000" w:rsidRPr="00000000" w:rsidDel="00000000">
              <w:rPr>
                <w:rtl w:val="0"/>
              </w:rPr>
              <w:t xml:space="preserve">Pasūtītājs izvērtē šī kritērija nepieciešamību.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 DZERAMĀ ŪDENS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infrastruktūras objektu kopējais dzeramā ūdens patēriņš (izņemot ūdens patēriņu biroju/administratīvajās ēkās), kas norādīts iepirkuma procedūras dokumentācijā, nepārsniedz šādu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notekūdeņu attīrīšanas iekārtas: x m</w:t>
            </w:r>
            <w:r w:rsidR="00000000" w:rsidRPr="00000000" w:rsidDel="00000000">
              <w:rPr>
                <w:vertAlign w:val="superscript"/>
                <w:rtl w:val="0"/>
              </w:rPr>
              <w:t xml:space="preserve">3</w:t>
            </w:r>
            <w:r w:rsidR="00000000" w:rsidRPr="00000000" w:rsidDel="00000000">
              <w:rPr>
                <w:rtl w:val="0"/>
              </w:rPr>
              <w:t xml:space="preserve"> izmantotā ūdens uz 1000 m</w:t>
            </w:r>
            <w:r w:rsidR="00000000" w:rsidRPr="00000000" w:rsidDel="00000000">
              <w:rPr>
                <w:vertAlign w:val="superscript"/>
                <w:rtl w:val="0"/>
              </w:rPr>
              <w:t xml:space="preserve">3</w:t>
            </w:r>
            <w:r w:rsidR="00000000" w:rsidRPr="00000000" w:rsidDel="00000000">
              <w:rPr>
                <w:rtl w:val="0"/>
              </w:rPr>
              <w:t xml:space="preserve"> attīrīto notekūdeņu;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kanalizācijas sistēmas — ierīkoto cauruļu tīrīšana: x m</w:t>
            </w:r>
            <w:r w:rsidR="00000000" w:rsidRPr="00000000" w:rsidDel="00000000">
              <w:rPr>
                <w:vertAlign w:val="superscript"/>
                <w:rtl w:val="0"/>
              </w:rPr>
              <w:t xml:space="preserve">3</w:t>
            </w:r>
            <w:r w:rsidR="00000000" w:rsidRPr="00000000" w:rsidDel="00000000">
              <w:rPr>
                <w:rtl w:val="0"/>
              </w:rPr>
              <w:t xml:space="preserve"> izmantotā ūdens uz ierīkoto cauruļu 100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 DZERAMĀ ŪDENS MAZĀKS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ūdens taupīšanas pasākumiem, kas pārsniedz iepriekš minētās specifikācijas, kuras iepirkuma procedūras dokumentācijā iekļautas attiecībā uz kritērijiem.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 Notekūdeņu attīrīšanas efektivitāte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 NOTEKŪDEŅU ATTĪRĪŠANAS STANDARTU PRASĪBU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 ekspluatētājam ir jāievēro Ministru kabineta 2002. gada 22. janvāra noteikumos Nr. 34 "Noteikumi par piesārņojošo vielu emisiju ūdenī" noteiktie notekūdeņu attīrīšanas standarti.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standarti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&lt;125 mg ĶSP/l, (ĶSP – ķīmiskais skābekļa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&lt;25 mg BSP/l, (BSP – bioķīmiskais skābekļa patēriņš)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&lt;35 mg SD/l (SD – suspendētās daļīņas);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&lt;15 mg kopējā slāpekļa/l (jutīgās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&lt;2 mg kopējā fosfora/l (jutīgās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standarti atšķiras atkarībā no atbildīgās ūdensapgādes iestādes, un dažām notekūdeņu attīrīšanas iekārtām normatīvajā regulējumā varētu būt noteiktas stingrākas iepriekš minēto parametru vērtības un/vai notekūdeņu attīrīšanas papildu standarti, piemēram, attiecībā uz patogēniem, smagajiem metāliem, organiskajām bīstamajām vielām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D2. PRASĪBAS ATTIECĪBĀ UZ MAKSIMĀLO ĶĪMISKO VIELU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Nogulsnēšanā izmantoto ķīmisko vielu (parasti dzelzs vai alumīnija sāļi) g uz attīrīto notekūdeņu m</w:t>
            </w:r>
            <w:r w:rsidR="00000000" w:rsidRPr="00000000" w:rsidDel="00000000">
              <w:rPr>
                <w:vertAlign w:val="superscript"/>
                <w:rtl w:val="0"/>
              </w:rPr>
              <w:t xml:space="preserve">3</w:t>
            </w:r>
            <w:r w:rsidR="00000000" w:rsidRPr="00000000" w:rsidDel="00000000">
              <w:rPr>
                <w:rtl w:val="0"/>
              </w:rPr>
              <w:t xml:space="preserve"> vai nogulsnēšanā izmantoto ķīmisko vielu g uz kopējā fosfora kg ieplūdes vietā.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D3.</w:t>
            </w:r>
            <w:r w:rsidR="00000000" w:rsidRPr="00000000" w:rsidDel="00000000">
              <w:rPr>
                <w:b w:val="1"/>
                <w:rtl w:val="0"/>
              </w:rPr>
              <w:t xml:space="preserve"> </w:t>
            </w:r>
            <w:r w:rsidR="00000000" w:rsidRPr="00000000" w:rsidDel="00000000">
              <w:rPr>
                <w:rtl w:val="0"/>
              </w:rPr>
              <w:t xml:space="preserve">AUGSTĀKA NOTEKŪDEŅU ATTĪRĪŠANAS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augstāku notekūdeņu attīrīšanas efektivitāti nekā noteikts tehniskajās specifikācijās.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Uzlabota attīrīšanas efektivitāte attiecībā uz BSP, kopējo slāpekli un kopējo fosforu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3.2. Samazināta nogulsnētāja(-u) izmantošana uz atdalītā fosfora kg
Mērvienība: nogulsnēšanā izmantoto ķīmisko vielu (parasti dzelzs vai alumīnija sāļi) g uz attīrīto notekūdeņu m3 vai nogulsnēšanā izmantoto ķīmisko vielu g uz kopējā fosfora kg ieplūdes vietā.</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 Dūmgāzu apstrādes efektivitāte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 EMISIJAS STANDARTU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 sadedzināšanas iekārtai ir jāatbilst prasībām, kas noteiktas Ministru kabineta 2011.gada 24.maija noteikumos Nr.401 "Prasības atkritumu sadedzināšanai un atkritumu sadedzināšanas iekārtu darbībai"</w:t>
            </w:r>
            <w:r w:rsidR="00000000" w:rsidRPr="00000000" w:rsidDel="00000000">
              <w:rPr>
                <w:b w:val="1"/>
                <w:rtl w:val="0"/>
              </w:rPr>
              <w:t xml:space="preserve"> </w:t>
            </w:r>
            <w:r w:rsidR="00000000" w:rsidRPr="00000000" w:rsidDel="00000000">
              <w:rPr>
                <w:rtl w:val="0"/>
              </w:rPr>
              <w:t xml:space="preserve">un 2019.gada labāko pieejamo tehnisko paņēmienu (LPTP) dokumentā par atkritumu sadedzināšanu (pieejams Vides pārraudzības valsts biroja tīmekļvietnē http://www.vpvb.gov.lv/lv/piesarnojums/lptp-vadlinijas/lptp-vadliniju-saraksts).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Tipiskie emisijas standarti (vidēji diennaktī)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&lt;40 mg SO</w:t>
            </w:r>
            <w:r w:rsidR="00000000" w:rsidRPr="00000000" w:rsidDel="00000000">
              <w:rPr>
                <w:vertAlign w:val="subscript"/>
                <w:rtl w:val="0"/>
              </w:rPr>
              <w:t xml:space="preserve">2</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&lt;100 mg NO</w:t>
            </w:r>
            <w:r w:rsidR="00000000" w:rsidRPr="00000000" w:rsidDel="00000000">
              <w:rPr>
                <w:vertAlign w:val="subscript"/>
                <w:rtl w:val="0"/>
              </w:rPr>
              <w:t xml:space="preserve">x</w:t>
            </w:r>
            <w:r w:rsidR="00000000" w:rsidRPr="00000000" w:rsidDel="00000000">
              <w:rPr>
                <w:rtl w:val="0"/>
              </w:rPr>
              <w:t xml:space="preserve">/ 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&lt;8 mg HCl/ 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&lt;5 mg putekļu/ 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Dažām sadedzināšanas iekārtām normatīvajā regulējumā var piemērot stingrākas iepriekš minēto parametru vērtības un/vai papildu emisijas standartus, piemēram, dzīvsudrabam, PAO, kadmijam, cinkam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 ZEMĀKS EMISIJU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var piešķirt apgriezti proporcionāli garantētajam SO</w:t>
            </w:r>
            <w:r w:rsidR="00000000" w:rsidRPr="00000000" w:rsidDel="00000000">
              <w:rPr>
                <w:vertAlign w:val="subscript"/>
                <w:rtl w:val="0"/>
              </w:rPr>
              <w:t xml:space="preserve">2</w:t>
            </w:r>
            <w:r w:rsidR="00000000" w:rsidRPr="00000000" w:rsidDel="00000000">
              <w:rPr>
                <w:rtl w:val="0"/>
              </w:rPr>
              <w:t xml:space="preserve">, NO</w:t>
            </w:r>
            <w:r w:rsidR="00000000" w:rsidRPr="00000000" w:rsidDel="00000000">
              <w:rPr>
                <w:vertAlign w:val="subscript"/>
                <w:rtl w:val="0"/>
              </w:rPr>
              <w:t xml:space="preserve">x</w:t>
            </w:r>
            <w:r w:rsidR="00000000" w:rsidRPr="00000000" w:rsidDel="00000000">
              <w:rPr>
                <w:rtl w:val="0"/>
              </w:rPr>
              <w:t xml:space="preserve">, HCl un putekļu (mg/Nm</w:t>
            </w:r>
            <w:r w:rsidR="00000000" w:rsidRPr="00000000" w:rsidDel="00000000">
              <w:rPr>
                <w:vertAlign w:val="superscript"/>
                <w:rtl w:val="0"/>
              </w:rPr>
              <w:t xml:space="preserve">3</w:t>
            </w:r>
            <w:r w:rsidR="00000000" w:rsidRPr="00000000" w:rsidDel="00000000">
              <w:rPr>
                <w:rtl w:val="0"/>
              </w:rPr>
              <w:t xml:space="preserve">) emisijas saturam, kas izteikts mg/Nm</w:t>
            </w:r>
            <w:r w:rsidR="00000000" w:rsidRPr="00000000" w:rsidDel="00000000">
              <w:rPr>
                <w:vertAlign w:val="superscript"/>
                <w:rtl w:val="0"/>
              </w:rPr>
              <w:t xml:space="preserve">3</w:t>
            </w:r>
            <w:r w:rsidR="00000000" w:rsidRPr="00000000" w:rsidDel="00000000">
              <w:rPr>
                <w:rtl w:val="0"/>
              </w:rPr>
              <w:t xml:space="preserve"> (piemēram, nulle punktus piešķir, ja saturs atbilst noteiktajiem emisijas standartiem, bet desmit punktus — ja tas ir 0 mg/Nm</w:t>
            </w:r>
            <w:r w:rsidR="00000000" w:rsidRPr="00000000" w:rsidDel="00000000">
              <w:rPr>
                <w:vertAlign w:val="superscript"/>
                <w:rtl w:val="0"/>
              </w:rPr>
              <w:t xml:space="preserve">3</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līguma izpildes noteikumi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 bieži vien ir vispārīgi, un tos papildina vides pārvaldības plānā (VPP) sīki izstrādātas prasības. VPP galvenie elementi parasti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u w:val="single"/>
                <w:rtl w:val="0"/>
              </w:rPr>
              <w:t xml:space="preserve"> noteiktie ietekmes uz vidi faktori un mērķi</w:t>
            </w:r>
            <w:r w:rsidR="00000000" w:rsidRPr="00000000" w:rsidDel="00000000">
              <w:rPr>
                <w:rtl w:val="0"/>
              </w:rPr>
              <w:t xml:space="preserve">, kas atkarībā no apstākļiem var atšķirties, bet kas būs norādīti IVN vai citos projekta plānošanas dokumentos. Ietekmes faktori/mērķi, kas ir raksturīgi vairumam būvniecības vai ekspluatācijas projektu, ir ūdens un enerģijas izmantošana, atjaunojamu/ atkārtoti izmantotu materiālu izmantošana, pārstrādātie/reģenerētie materiāli, ietekme uz floru un faunu, ietekme uz vietējo satiksmi un trokšņa/smaku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u w:val="single"/>
                <w:rtl w:val="0"/>
              </w:rPr>
              <w:t xml:space="preserve">izpildes pamatrādītāji</w:t>
            </w:r>
            <w:r w:rsidR="00000000" w:rsidRPr="00000000" w:rsidDel="00000000">
              <w:rPr>
                <w:rtl w:val="0"/>
              </w:rPr>
              <w:t xml:space="preserve">, kas noteikti ietekmes novērtēšanai. Par šo jautājumu ir pieejami dažādi metodiskie līdzekļi, un nākamajā tabulā ir sniegti ilustratīvi piemēri;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w:t>
            </w:r>
            <w:r w:rsidR="00000000" w:rsidRPr="00000000" w:rsidDel="00000000">
              <w:rPr>
                <w:u w:val="single"/>
                <w:rtl w:val="0"/>
              </w:rPr>
              <w:t xml:space="preserve">konkrētie izpildes līmeņi</w:t>
            </w:r>
            <w:r w:rsidR="00000000" w:rsidRPr="00000000" w:rsidDel="00000000">
              <w:rPr>
                <w:rtl w:val="0"/>
              </w:rPr>
              <w:t xml:space="preserve"> attiecībā uz šiem dažādajiem ietekmes faktoriem. Ir jābūt iespējai līgumu regulāri atjaunināt, lai ņemtu vērā vajadzību pēc augstākiem izpildes līmeņiem vai pat jaunus ietekmes uz vidi faktorus. Attiecībā uz ekspluatācijas līgumiem tas jebkurā gadījumā būs vajadzīgā vides pārvaldības plāna dabisks iznākums, nosakot aizvien augstākus mērķus privātajam ekspluatantam. Izpildes pamatrādītāju un izpildes līmeņu noteikšana, piemēram, attiecībā uz ūdens un enerģijas izmantošanu, var būt salīdzinoši vienkārša. Būtībā tā ir konkrēta patēriņa līmeņa noteikšana kvantitatīvā izteiksmē (piemēram, attiecībā uz enerģiju — kWh). Šajā tabulā ir parādīti to izpildes rādītāju veidi, kas attiecas gan uz būvniecības, gan ekspluatācijas posmu, un līmeņi, kas jāizmanto attiecībā uz mazāk uzskatāmiem ietekmes faktoriem.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05"/>
              <w:gridCol w:w="3293"/>
              <w:gridCol w:w="3101"/>
              <w:tblGridChange w:id="0">
                <w:tblGrid>
                  <w:gridCol w:w="3005"/>
                  <w:gridCol w:w="3293"/>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Ietekmes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Izpildes pamatrādītāji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Izpildes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Iekārtā un ārpus tās nedrīkst rasties traucējoša smaka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Sērūdeņraža (H</w:t>
                  </w:r>
                  <w:r w:rsidR="00000000" w:rsidRPr="00000000" w:rsidDel="00000000">
                    <w:rPr>
                      <w:vertAlign w:val="subscript"/>
                      <w:rtl w:val="0"/>
                    </w:rPr>
                    <w:t xml:space="preserve">2</w:t>
                  </w:r>
                  <w:r w:rsidR="00000000" w:rsidRPr="00000000" w:rsidDel="00000000">
                    <w:rPr>
                      <w:rtl w:val="0"/>
                    </w:rPr>
                    <w:t xml:space="preserve">S) koncentrācijai pie objekta robežas ir jābūt mazākai par xx miljarddaļām, bet objekta teritorijā — mazākai par xx miljarddaļām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pieļaujamais trokšņa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 dienu (8.00–20.00) — maksimāli xx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 nakti (20.00–8.00) — maksimāli xx dB(A)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Vietējā satiksme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Noteiktā periodā sastrēgumstundu laikā konstatētās procentuālās izmaiņas ceļu satiksmē, dodoties uz objektu un no 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Noteikts maksimālais satiksmes pieauguma procents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2.1.Citās jomās, piemēram, atkritumu apsaimniekošanas jomā, ir plašākas iespējas izmantot dažādus izpildes rādītājus. Šajā saistībā VPP varētu ietvert, piemēram,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2.1.kopējais rādītājs — x tonnas atkritumu, kas ik gadu tiek saražoti ekspluatācijas laikā vai uz EUR 100 000 no būvdarbu vērtības, un saražotā atkritumu daudzuma samazināšana par x procentiem noteiktā periodā (norāda gadu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2.2.ne vairāk kā x tonnas atkritumu tiek nogādāti poligonā, un vismaz x tonnas atkritumu tiek pārstrādāti vai atkārtoti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2.3.vismaz x procenti no būvniecībā/ekspluatācijā izmantotajiem materiāliem ir iegūti no pārstrādātiem vai atkārtoti izmantotiem materiāliem.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Sienu paneļi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Sienu paneļi ir plātnes, ko izmanto vertikālā vai leņķveida novietojumā (piemēram, pārveidojot augšstāvus) ēkā, kur pats panelis nav nesošais elements un tā virsma nav galīgā virsma, ko redz pabeigtā ēkā, t. i., tā tiks apmesta, slīpēta, nokrāsota, aplīmēta ar tapetēm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Uzmanība pievērsta galvenokārt diviem atšķirīgiem sienu paneļu materiāliem, jo abi minētie materiāli pārstāv gandrīz visu sienu paneļu tirgu. Tās ir ģipškartona plātnes un koksnes plātņu materiāli. Abi materiāli ir apskatīti kā atsevišķas vienības, jo, lai gan to izmantojums pārklājas, atšķiras gan to sastāvs, gan arī standarti, kam obligāti jāatbilst attiecīgajiem materiāliem.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10.1. ZPI prasības un kritēriji no ģipškartona plātnēm izgatavotiem sienu paneļiem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nekaitīgu sienu paneļu iepirkums.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PAPĪRAM, KURU IZMANTO ĢIPŠKARTONA PLĀTŅU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Papīram, ko izmanto ģipškartona plātņu ražošanā, jābūt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100 procenti pārstrādāta koka/papīra un/vai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papīra, kas ražots no koka, kokšķiedrām vai kokskaidām, kuras iegūtas likumīgā mežizstrādē.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PĀRSTRĀDĀTĀ ĢIPŠA DAĻA ĢIPŠKARTONA PLĀTNĒS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 procenti ģipša satura jābūt no pārstrādātām ģipškartona plātnēm (pēc svara, pamatojoties uz vidējo apjomu gadā, neieskaitot ģipsi no </w:t>
            </w:r>
            <w:r w:rsidR="00000000" w:rsidRPr="00000000" w:rsidDel="00000000">
              <w:rPr>
                <w:i w:val="1"/>
                <w:rtl w:val="0"/>
              </w:rPr>
              <w:t xml:space="preserve">FGD </w:t>
            </w:r>
            <w:r w:rsidR="00000000" w:rsidRPr="00000000" w:rsidDel="00000000">
              <w:rPr>
                <w:rtl w:val="0"/>
              </w:rPr>
              <w:t xml:space="preserve">(dūmgāzu desulfurizācijas) objektiem). Ja ir iespējamas lielākas procentuālās daļas, atlasē tām jādod priekšroka.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turpmāk minēto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LIELĀKA PĀRSTRĀDĀTĀ ĢIPŠA DAĻA ĢIPŠKARTONA PLĀTNĒS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Proporcionāli palielinātajai pārstrādāta ģipša daļai iepirktajās ģipškartona plātnēs.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ILGTSPĒJĪGAS MEŽSAIMNIECĪBAS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plātņu ražošanā izmantotais papīrs ir izgatavots no koka, kokšķiedrām vai kokskaidām, kas iegūtas ilgtspējīgi apsaimniekotos mežos, kuros īstenoti principi un pasākumi ar mērķi nodrošināt mežu ilgtspējīgu un likumīgu apsaimniekošanu, ja minētie kritēriji raksturo izstrādājumu un ir tam būtiski.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SIENU PANEĻU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Jābūt pieejamai informācijai par sienu paneļu pārklājuma materiāliem, piemēram, krāsu tipiem, kas nekavēs ģipškartona plātņu pārstrādi vai novirzīšanu ekspluatācijas laika beigās.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LIETOŠANAS INSTRUKCIJA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Izstrādājumam jāpievieno vai arī uz iepakojuma vai etiķetes jānorāda attiecīga un pieņemama informācija lietotājiem par rīkošanos ar izstrādājumu, uzstādīšanu, virsmas apstrādes paņēmieniem, pārstrādes un/vai apglabāšanas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jāpierāda, ka uzstādot sienu paneļus, tiek īstenota efektīvu politika un procedūras, lai nodrošinātu, ka uzstādīšanas laikā radušies atkritumi, t. i., atlikumi, atgriezumi, bojātās plātnes utt., tiek pienācīgi apstrādāti ilgtspējīgā veidā , piemēram, ja iespējams, ar atbilstošu savākšanas shēmu starpniecību tiek reģenerēti, pārstrādāti vai novirzīti no atkritumu poligona.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10.2. ZPI prasības un kritēriji no koksnes plātņu materiāliem izgatavotiem sienu paneļiem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nekaitīgu sienu paneļu iepirkums.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KOKMATERIĀLIEM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Izmantotajiem neapstrādātajiem kokmateriāliem jābūt iegūtiem no likumīgiem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FORMALDEHĪDA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plātņu materiāli, kuros izmantotas formaldehīdu saturošas saistvielas, nedrīkst pārsniegt piemērojamo standartu prasībām, proti, 0,13 mg/m</w:t>
            </w:r>
            <w:r w:rsidR="00000000" w:rsidRPr="00000000" w:rsidDel="00000000">
              <w:rPr>
                <w:vertAlign w:val="superscript"/>
                <w:rtl w:val="0"/>
              </w:rPr>
              <w:t xml:space="preserve">3 </w:t>
            </w:r>
            <w:r w:rsidR="00000000" w:rsidRPr="00000000" w:rsidDel="00000000">
              <w:rPr>
                <w:rtl w:val="0"/>
              </w:rPr>
              <w:t xml:space="preserve">gaisa (jeb 0,1 ppm). Tas attiecas arī uz plātnēm ar pārklājumu un plātņu gruntēšanu.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turpmāk minēto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PĀRSTRĀDĀTAS VAI ATKĀRTOTI IZMANTOTAS KOKSNES PROCENTUĀLĀ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proporcionāli pārstrādātās (otrreiz izmantotās) koksnes daļai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ILGTSPĒJĪGI MEŽSAIMNIECĪBAS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izstrādājums ir izgatavots no koka, kokšķiedrām vai kokskaidām, kas iegūtas ilgtspējīgi apsaimniekotos mežos, kuros īstenoti principi un pasākumi ar mērķi nodrošināt mežu ilgtspējīgu un likumīgu apsaimniekošanu, ja minētie kritēriji raksturo izstrādājumu un ir tam būtiski.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SIENU PANEĻU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Jābūt pieejamai informācijai par sienu paneļu pārklājuma materiāliem, piemēram, krāsu tipiem, kas nekavēs koksnes plātņu materiālu pārstrādi vai novirzīšanu ekspluatācijas laika beigās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LIETOŠANAS INSTRUKCIJA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Izstrādājumam jāpievieno vai arī uz iepakojuma vai etiķetes jānorāda attiecīga un pieņemama informācija lietotājiem par rīkošanos ar izstrādājumu, uzstādīšanu, virsmas apstrādes paņēmieniem, pārstrādes un/vai apglabāšanas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jāpierāda, ka ka uzstādot sienu paneļus, tiek īstenota efektīva politika un procedūras, lai nodrošinātu, ka uzstādīšanas laikā radušies atkritumi tiek pienācīgi apstrādāti ilgtspējīgā veidā, piemēram, ja iespējams, tiek pārstrādāti vai novirzīti no atkritumu poligona.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Izlietnes krāni, dušas uzgaļi un to aprīkojums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izlietnes krāniem, dušas uzgaļiem un to aprīkojumu, ko parasti izmanto tādās publiskās ēkās kā skolās, biroju ēkās, slimnīcās, peldbaseinos, sporta centros, un citu armatūru, kas paredzēta abu veidu – gan nemājsaimniecību, gan mājsaimniecību – funkciju izpildei. Izlietnes krānu, dušas uzgaļu un to aprīkojuma kritēriji attiecināmi uz šādām produktu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dušas uzgaļi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dušas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neattiecas uz šādiem produktu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vannas krāni,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krāni lietošanai ārā,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nemājsaimniecību krāni, dušas uzgaļi un dušas sistēmas īpašiem lietojumiem, kam paredzētās funkcijas izpildei vajadzīga neierobežota ūdens plūsma (piemēram, laboratoriju drošības krāni un dušas, profesionālie virtuves krāni),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krāni, kas paredzēti dārzkopības produktiem un pakalpojumiem.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11.1. ZPI prasības krāniem, dušas uzgaļiem un to aprīkojumam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Krāni, dušas uzgaļi un to aprīkojums (sanitārtehniskais aprīkojums) ar efektīvu ūdens patēriņu iegāde jaunām vai atjaunotām ēkām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ŪDENS PATĒRIŅŠ UN SAISTĪTAIS ENERĢIJAS IETAUPĪJUMS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Maksimāli pieejamais ūdens plūsmas ātrums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Neatkarīgi no ūdens spiediena maksimāli pieejamais ūdens plūsmas ātrums izlietnē nedrīkst pārsniegt 1. tabulā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1. tabula</w:t>
            </w:r>
            <w:r w:rsidR="00000000" w:rsidRPr="00000000" w:rsidDel="00000000">
              <w:rPr>
                <w:rtl w:val="0"/>
              </w:rPr>
              <w:t xml:space="preserve">. Maksimāli pieejamais ūdens plūsmas ātrums sanitārtehniskajam aprīkojumam.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92"/>
              <w:gridCol w:w="3868"/>
              <w:tblGridChange w:id="0">
                <w:tblGrid>
                  <w:gridCol w:w="5592"/>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Produkta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plūsmas ātrums (l/min.)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krāni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istabas izlietnes krāni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uzgaļi vai dušas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Piezīme</w:t>
            </w:r>
            <w:r w:rsidR="00000000" w:rsidRPr="00000000" w:rsidDel="00000000">
              <w:rPr>
                <w:rtl w:val="0"/>
              </w:rPr>
              <w:t xml:space="preserve">. sanitārtehniskajam aprķojumam ar vairākiem izsmidzināšanas veidiem ir jāatbilst prasībai attiecībā uz lielākās ūdens plūsmas iestatījumu.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Mazākais maksimāli pieejamais ūdens plūsmas ātrums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Neatkarīgi no ūdens spiediena sanitārtehniskā aprīkojuma mazākais maksimāli pieejamais ūdens plūsmas ātrums nedrīkst būt mazāks par 2. tabulā norādītajām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2. tabula</w:t>
            </w:r>
            <w:r w:rsidR="00000000" w:rsidRPr="00000000" w:rsidDel="00000000">
              <w:rPr>
                <w:rtl w:val="0"/>
              </w:rPr>
              <w:t xml:space="preserve">. Mazākais maksimāli pieejamais plūsmas ātrums sanitārtehniskajam aprīkojumam.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92"/>
              <w:gridCol w:w="3868"/>
              <w:tblGridChange w:id="0">
                <w:tblGrid>
                  <w:gridCol w:w="5592"/>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Produkta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plūsmas ātrums (l/min.)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krāni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istabas izlietnes krāni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uzgaļi vai dušas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Elektriskas dušas sistēmas un zemspiediena dušas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Temperatūras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(šis kritērijs nav piemērojams dušas uzgaļiem un sanitārtehniskajam aprīkojumam, ko pievienos ūdens piegādes sistēmai, kurai jau ir temperatūras kontroles iespējas)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Sanitārtehnisko aprīkojumu aprīko ar modernu ierīci vai tehnoloģiju, kas ļauj regulēt temperatūru. Atkarībā no savām vēlmēm valsts iestādes var izvēlēties vienu no šādām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1.3.1.Sanitārtehnisko aprīkojumu aprīko ar karstā ūdens barjeru;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1.3.2.Sanitārtehniskais aprīkojums ir termostatiski regulējama;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1.3.3.Sanitārtehnisko aprīkojumu uzprojektē ar aukstā ūdens piegādi vidējā pozīcijā.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sistēmas ar dubultu sviru/rokturi neatbilst šim kritērijam.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Laika kontrole Sanitārtehnisko aprīkojumam, kas paredzēta daudzkārtīgai un biežai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Sanitārtehniskais aprīkojums, kas uzstādīts nemājsaimniecības apstākļos daudzkārtīgai un biežai lietošanai (proti, Sanitārtehniskais aprīkojums , ko izmanto sabiedriskajās tualetēs vai tualetēs skolās, birojos, slimnīcās, peldbaseinos un tamlīdzīgos apstākļos), nosaka laika limitu vienreizējam ūdens patēriņam (proti, ierobežo patērēto ūdens tilpumu). To var izdarīt, aprīkojot produktus ar ierīcēm, kas aptur ūdens plūsmu pēc zināma laika, ja to neizmanto (piemēram, sensoriem, kas aptur ūdens plūsmu, kad lietotājs vairs nav sensora uztveršanas laukā), un/vai pēc iestatīta lietošanas laikposma (piemēram, laika limitētājiem, kas aptur ūdens plūsmu, kad ir sasniegts maksimālais plūsmas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Ja valsts iestāde vēlas izmantot laika kontroles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Sanitārtehniskais aprīkojums, kas aprīkots ar laika limitētājiem, iepriekš iestatītais maksimālais plūsmas ilgums nedrīkst pārsniegt 15 sekundes krāniem un 35 sekundes dušām. Tomēr produkts ir ražots tā, lai uzstādītājs varētu pielāgot plūsmas ilgumu saskaņā ar paredzēto produkta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Ja valsts iestāde vēlas sistēmu, ko kontrolē ar sensoru: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Sanitārtehniskais aprīkojums, kas aprīkots ar sensoru, izslēgšanās laiks pēc lietošanas nedrīkst pārsniegt 2 sekundes krāniem un 3 sekundes dušām. Turklāt sanitārtehniskajā aprīkojumā, kas aprīkots ar sensoru, jābūt iebūvētam tehniskam drošības aprīkojumam ar iepriekš iestatītu izslēgšanās laiku maksimāli pēc 2 minūtēm, lai nepieļautu negadījumus vai nepārtrauktu ūdens plūsmu no krāniem/dušām, kad tos nelieto.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PRODUKTA KVALITĀTE UN LIETOŠANAS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Iedarbībai pakļautās virsmas stāvoklis un pārklājuma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Sanitārie produkti, kam ir metālisks niķeļa-hroma pārklājums (neatkarīgi no pamatmateriāla īpašībām), atbilst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Rezerves daļu remonta iespējas un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Produkts ir ražots tā, lai attiecīgā gadījumā galapatērētājs vai santehniķis tā nomaināmos komponentus varētu viegli aizstāt. Informāciju par to, kurus elementus var aizstāt, skaidri norāda produktam pievienotajā informācijas lapā. Turklāt pieteikuma iesniedzējs sniedz skaidrus norādījumus, lai attiecīgā gadījumā galalietotājs vai santehniķis varētu veikt pamatremontu.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iesniedzējs turklāt nodrošina, ka rezerves daļas ir pieejamas vismaz piecus gadus pēc pirkuma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iesniedzējs dod vismaz četru gadu garantiju remontam vai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LIETOŠANAS INSTRUKCIJA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Produktam drukātā veidā (uz iepakojuma un/vai produktam pievienotajā dokumentācijā) un/vai elektroniskā formātā ir pievienota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uzstādīšanas instrukcijas, tostarp informācija par konkrētu darbības spiedienu, kam produkts ir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ieteikumi par produkta pareizu lietošanu un apkopi (tostarp tīrīšanu un atkaļķošanu), kuros minēti visi atbilstošie norādījumi, jo īpaši: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ieteikumi par produktu apkopi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informācija par to, kuras rezerves daļas var aizstāt;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norādījumi par blīvju nomaiņu, ja no krāna pil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ieteikumi par Sanitārtehniskā aprīkojuma tīrīšanu ar piemērotiem materiāliem, lai novērstu tās iekšējās un ārējās virsmas bojājumus;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ieteikumi par aeratoru regulāru un pareizu apkopi.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11.2. ZPI prasības krānu, dušas uzgaļu un to aprīkojuma uzstādīšanai </w:t>
      </w:r>
      <w:r>
        <w:tab/>
      </w:r>
      <w:r>
        <w:br/>
      </w:r>
      <w:r w:rsidR="00000000" w:rsidRPr="00000000" w:rsidDel="00000000">
        <w:rPr>
          <w:i w:val="1"/>
          <w:rtl w:val="0"/>
        </w:rPr>
        <w:t xml:space="preserve">(prasības piemēro papildus 11.1. sadaļā norādītajiem)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sanitārtehniskā aprīkojuma produktu ar efektīvu ūdens patēriņu uzstādīšana vai to aizstāšana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Piegādātājs nodrošina, lai gadījumos, kad aprīkojums ietver sensorus vai laika limitētājus: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vienojoties ar pasūtītāju, sensoriem iestata jutību un laika aizturi uz atbilstošiem līmeņiem, lai tiktu apmierinātas lietotāju vajadzības, neradot pārmērīgu ūdens un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sensorus pārbauda, lai nodrošinātu, ka tie pienācīgi darbojas un ir pietiekami jutīgi, lai uztvertu tipiskas lietotāju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1.3.laika limitētājus, vienojoties ar pasūtītāju, uzstāda uz nepieciešamajiem laikiem, lai tie atbilstu lietotāju vajadzībām, pārmērīgi nepalielinot ūdens un saistītās enerģijas patēriņu.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Tekstilpreces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šādiem tekstilizstrādājumiem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apģērbs un aksesuāri (piemēram, kabatlakatiņus, šalles, somas, iepirkumu somas, mugursomas, jostas utt.), kuru sastāvā ir vismaz 90 masas procentu tekstilšķiedru;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interjera tekstilpreces: lietošanai telpās paredzēti tekstilizstrādājumi, kuru sastāvā ir vismaz 90 masas procentu tekstilšķiedru (izņēmums ir grīdu un sienu segumi);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šķiedras, dzijas un audumi, kas paredzēti izmantošanai apģērbā un aksesuāros no tekstilmateriāliem vai interjera tekstilprecēs.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 ZPI prasības un kritēriji tekstilprecēm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tekstilizstrādājumu iepirkums, kuros ir zems toksisku vielu līmenis, dodot priekšroku šķiedrām un izstrādājumiem, kuru ietekme uz vidi ražošanas laikā ir neliela un kuri izgatavoti no šķiedrām, kas ražotas, izmantojot minimālu pesticīdu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PESTICĪDI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Gatavos izstrādājumos, kas izgatavoti no kokvilnas vai citām dabīgām celulozes šķiedrām, katras turpmāk minētās vielas saturs nepārsniedz 0,05 ppm (miljondaļas). Turpmāk minēto vielu kopējais saturs nepārsniedz 0,75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2,4,5-T,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aldrīns,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kaptafols,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hlordāns,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hlordimeforms,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DDT,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dieldrīns,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dinosebs un tā sāļi,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endrīns,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heptahlors,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heksahlorbenzols,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α-heksahlorcikloheksāns,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β-heksahlorcikloheksāns,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δ-heksahlorcikloheksāns,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metamidofoss,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monokrotofoss,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β-heksahlorcikloheksāns,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δ-heksahlorcikloheksāns,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metamidofoss,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monokrotofoss,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parationmetils,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propetamfoss,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toksafēns.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Gatavu izstrādājumu ražošanā neizmanto šādas krāsvielas, kas klasificētas kā sensibilizējošas / alergēnas, kancerogēnas, mutagēnas vai reproduktīvajai funkcijai toksiskas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Basic Red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Acid Red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Basic Violet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Orange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I. Direct Black 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I. Direct Blue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I. Direct Red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I. Disperse Yellow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149.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krāsvielas ar izmanto tikai tad, ja krāsoto šķiedru, dziju vai audumu krāsnoturība pret sviedriem (skābiem un sārmainiem) atbilst vismaz 4.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3 C.I. 61 505,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7 C.I. 62 500,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26 C.I. 63 305,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Blue 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Orange 1 C.I. 11 080,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Orange 3 C.I. 11 005,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Orange 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Orange 76 (iepriekšējais apzīmējums Orange 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Red 1 C.I. 11 110,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Red 11 C.I. 62 015,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Red 17 C.I. 11 210,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1 C.I. 10 345,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9 C.I. 10 375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 Disperse Yellow 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ARILAMĪNI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 izstrādājumi nesatur šādus arilamīnus: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4-aminodifenils (CAS Nr. 92-67-1),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benzidīns (CAS Nr. 92-87-5),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4-hlor-o-toluidīns (CAS Nr. 95-69-2),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2-naftilamīns (CAS Nr. 91-59-8),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o-aminoazotoluols (CAS Nr. 97-56-3),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2-amino-4-nitrotoluols (CAS Nr. 99-55-8),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p-hloranilīns (CAS Nr. 106-47-8),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2,4-diaminoanizols (CAS Nr. 615-05-4)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4,4'-diaminodifenilmetāns (CAS Nr. 101-77-9),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3,3'-dihlorbenzidīns (CAS Nr. 91-94-1),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3,3'-dimetoksibenzidīns (CAS Nr. 119-90-4),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3,3'-dimetilbenzidīns (CAS Nr. 119-93-7),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3,3'-dimetil-4,4'-diaminodifenilmetāns (CAS Nr. 838-88-0),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p-krezidīns (CAS Nr. 120-71-8),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4,4'-metilēn-bis(2-hloranilīns) (CAS Nr. 101-14-4),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4,4'-oksidianilīns (CAS Nr. 101-80-4),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4,4'-tiodianilīns (CAS Nr. 139-65-1),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o-toluidīns (CAS Nr. 95-53-4),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2,4-diaminotoluols (CAS Nr. 95-80-7),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2,4,5-trimetilanilīns (CAS Nr. 137-17-7),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4-aminoazobenzols (CAS Nr. 60-09-3),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o-anizidīns (CAS Nr. 90-04-0).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UGUNSAIZSARDZĪBAS ĶĪMISKIE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Gatavos izstrādājumos neizmanto šādus ugunsaizsardzības ķīmiskos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PBB (polibrombifenili) (CAS Nr. 59536-65-1),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penta-BDE (pentabromdifenilēteris) (CAS Nr. 32534-81-9),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okta-BDE (oktabromdifenilēteris) (CAS Nr. 32536-52-9),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deka-BDE (dekabromdifenilēteris) (CAS Nr. 1163-19-5).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PENTAHLORFENOLS UN TETRAHLORFENOLS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Gatavos izstrādājumos, kas izgatavoti no kokvilnas vai citām dabīgām celulozes šķiedrām, pentahlorfenola saturs nepārsniedz 0,5 miljondaļas.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FTALĀTU MĪKSTINĀŠANAS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Gatavos izstrādājumos, kas nonāk tiešā saskarē ar ādu, šādu ftalātu mīkstināšanas līdzekļu saturs nepārsniedz 0,1 masas procentu: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DEHP (di(2-etilheksil)ftalāts) (CAS Nr. 117-81-7),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BBP (butilbenzilftalāts) (CAS Nr. 85-68-7),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DBP (dibutilftalāts) (CAS Nr. 84-74-2),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DNOP (di-n-oktilftalāts),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DINP (diizononilftalāts),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DIDP (diizodecilftalāts),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DIBP (diizobutilftalāts),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TCEP (tris(2-hloretil)fosfāts).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FORMALDEHĪDS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Brīva un daļēji hidrolizējama formaldehīda daudzums gatavos izstrādājumos, kas nonāk tiešā saskarē ar ādu, nepārsniedz 70 ppm, bet visos pārējos gatavajos izstrādājumos 300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SMAGIE METĀLI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(Cd), hroma (Cr), niķeļa (Ni), svina (Pb) un vara (Cu) daudzums gatavos izstrādājumos nepārsniedz šādas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kadmijs (Cd) 0,1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hroms (Cr) 2,0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niķelis (Ni) 4,0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svins (Pb) 1,0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varš (Cu) 50,0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KRĀSNOTURĪBA UN FORMAS STABILITĀTE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krāsnoturību un formas stabilitāti izstrādājumiem jāatbilst šādam prasību minimumam.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4059"/>
              <w:gridCol w:w="2718"/>
              <w:tblGridChange w:id="0">
                <w:tblGrid>
                  <w:gridCol w:w="2622"/>
                  <w:gridCol w:w="4059"/>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Testēšanas metode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Izmēru maiņa mazgājot un žāvējot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Plus vai mīnus 2 procenti aizkariem un mēbeļaudumiem, kas ir mazgājami un noņemami.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mīnus 8 procenti līdz plus 4 procenti citiem austiem izstrādājumiem, izturīgiem neaustiem izstrādājumiem, citiem trikotāžas izstrādājumiem un dvieļu frotē audumiem.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Krāsnoturība mazgājot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3.–4. līmenis attiecībā uz krāsas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3.–4. līmenis attiecībā uz krāsojuma plankumainību.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Krāsnoturība pret sviedriem (skābiem, sārmainiem)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3.–4. līmenis (attiecībā uz krāsas maiņu un krāsojuma plankumainību).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līmenis, ja audums ir tumšā krāsā (standarta dziļums &gt;1/1) un izgatavots no reģenerētas vilnas vai satur vairāk nekā 20 procenti zīda.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Krāsnoturība pret berzi mitrā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indigo krāsotam rupjam kokvilnas audumam pieļaujams 2.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Krāsnoturība pret berzi sausā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indigo krāsotam rupjam kokvilnas audumam pieļaujams 3.–4.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Krāsnoturība pret gaismu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Mēbeļaudumiem, aizkaru audumiem un drapēriju audumiem vismaz 4.–5.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pārējiem izstrādājumiem vismaz 4.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4. līmenis, ja mēbeļaudums, aizkaru audums vai drapēriju audums ir gaišā krāsā (standarta dziļums &lt;1/12) un satur vairāk nekā 20 procenti vilnas vai citu keratīna šķiedru vai vairāk nekā 20 procenti zīda, vai vairāk nekā 20 procenti linšķiedras vai citu lūksnšķiedru.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Piemērojamie standarti.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proporcionāli šādu šķiedru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BIOLOĢISKI RAŽOTAS KOKVILNAS VAI CITAS DABĪGAS ŠĶIEDRAS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jānorāda, kāda masas daļa no gatavos izstrādājumos izmantotajām kokvilnas vai citām dabīgām šķiedrām ir ražotas bioloģiski. Lai šķiedru uzskatītu par bioloģiski ražotu, tās izcelsmes kultūrai jābūt ražotai saskaņā ar Regulu (EK) Nr. 834/2007</w:t>
            </w:r>
            <w:r w:rsidR="00000000" w:rsidRPr="00000000" w:rsidDel="00000000">
              <w:rPr>
                <w:b w:val="1"/>
                <w:rtl w:val="0"/>
              </w:rPr>
              <w:t xml:space="preserve"> "</w:t>
            </w:r>
            <w:r w:rsidR="00000000" w:rsidRPr="00000000" w:rsidDel="00000000">
              <w:rPr>
                <w:rtl w:val="0"/>
              </w:rPr>
              <w:t xml:space="preserve">Par bioloģisko ražošanu un bioloģisko produktu marķēšanu un par Regulas (EEK) Nr. 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RECIKLĒTAS ŠĶIEDRAS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jānorāda, kādu masas daļu izstrādājumos veido reciklētas šķiedras, t.i., šķiedras, kas iegūtas tikai no tekstilpreču un apģērbu ražošanas atgriezumiem vai no pēclietošanas atkritumiem (tekstilmateriālu vai citiem atkritumiem).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Transports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trim ražojumu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jauni pasažieru automobiļi, ko iegādājas tieši vai izmantojot līzingu/nomu;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jauni sabiedriskie transportlīdzekļi un sabiedriskā transporta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jauni atkritumu savākšanas automobiļi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Piedāvātie kritēriji ir jāskata kopā ar Ministru kabineta 2017. gada 28. februāra noteikumiem Nr. 106 "Noteikumi par autotransporta līdzekļu kategorijām, kuru iepirkumos piemēro īpašas prasības, un autotransporta līdzekļu ekspluatācijas izmaksu aprēķināšanas metodiku", 2013. gada 25. jūnija Ministru kabineta noteikumiem Nr. 351 " Sabiedrisko autotransporta līdzekļu iepirkuma noteikumi" un citiem saistītiem tiesību aktiem.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13.1. ZPI prasības un kritēriji jaunu vieglo automobiļu un jaunu vieglo kravas automobiļu iegādei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Bezemisiju un zemas emisijas transportlīdzekļu iepirkšana vai noma.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w:t>
            </w:r>
            <w:r w:rsidR="00000000" w:rsidRPr="00000000" w:rsidDel="00000000">
              <w:rPr>
                <w:vertAlign w:val="subscript"/>
                <w:rtl w:val="0"/>
              </w:rPr>
              <w:t xml:space="preserve">2 </w:t>
            </w:r>
            <w:r w:rsidR="00000000" w:rsidRPr="00000000" w:rsidDel="00000000">
              <w:rPr>
                <w:rtl w:val="0"/>
              </w:rPr>
              <w:t xml:space="preserve">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transportlīdzekļu tehnisko datu lapu, transportlīdzekļu CO</w:t>
            </w:r>
            <w:r w:rsidR="00000000" w:rsidRPr="00000000" w:rsidDel="00000000">
              <w:rPr>
                <w:vertAlign w:val="subscript"/>
                <w:rtl w:val="0"/>
              </w:rPr>
              <w:t xml:space="preserve">2 </w:t>
            </w:r>
            <w:r w:rsidR="00000000" w:rsidRPr="00000000" w:rsidDel="00000000">
              <w:rPr>
                <w:rtl w:val="0"/>
              </w:rPr>
              <w:t xml:space="preserve"> emisija nedrīkst pārsniegt šādus rādītājus (pēc WLTP mērīšanas metodes):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97"/>
              <w:gridCol w:w="3964"/>
              <w:tblGridChange w:id="0">
                <w:tblGrid>
                  <w:gridCol w:w="5497"/>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Transportlīdzekļa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vertAlign w:val="subscript"/>
                      <w:rtl w:val="0"/>
                    </w:rPr>
                    <w:t xml:space="preserve">CO2</w:t>
                  </w:r>
                  <w:r w:rsidR="00000000" w:rsidRPr="00000000" w:rsidDel="00000000">
                    <w:rPr>
                      <w:rtl w:val="0"/>
                    </w:rPr>
                    <w:t xml:space="preserve"> (</w:t>
                  </w:r>
                  <w:r w:rsidR="00000000" w:rsidRPr="00000000" w:rsidDel="00000000">
                    <w:rPr>
                      <w:i w:val="1"/>
                      <w:rtl w:val="0"/>
                    </w:rPr>
                    <w:t xml:space="preserve">g/km</w:t>
                  </w:r>
                  <w:r w:rsidR="00000000" w:rsidRPr="00000000" w:rsidDel="00000000">
                    <w:rPr>
                      <w:rtl w:val="0"/>
                    </w:rPr>
                    <w:t xml:space="preserve">)</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Vieglie pasažieru automobiļi (M1)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 mazs apvidus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kompaktā apvidus, mazā daudzfunkciju, kompaktā daudzfunkciju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 vidējs daudzfunkciju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Liels, vidējā apvidus, lielā daudzfunkciju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Luksus, lielā apvidus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Vieglais komerctransports (N1)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 furgoni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furgoni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furgoni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ir jāatbilst EURO 6 atgāzu emisijas standartam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2. tabulā noteiktajām "Euro 6" emisijas robežvērtībām un CO</w:t>
            </w:r>
            <w:r w:rsidR="00000000" w:rsidRPr="00000000" w:rsidDel="00000000">
              <w:rPr>
                <w:vertAlign w:val="subscript"/>
                <w:rtl w:val="0"/>
              </w:rPr>
              <w:t xml:space="preserve">2 </w:t>
            </w:r>
            <w:r w:rsidR="00000000" w:rsidRPr="00000000" w:rsidDel="00000000">
              <w:rPr>
                <w:rtl w:val="0"/>
              </w:rPr>
              <w:t xml:space="preserve"> emisijas ir saskaņā ar tehnisko datu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EKOLOĢISKA BRAUKŠANA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Automašīnās/furgonos ir informācija/norādījumi par ekoloģisku braukšanu, kas atbilst transportlīdzeklim. Attiecībā uz transportlīdzekļiem ar iekšdedzes motoru transportlīdzekļa lietotāja rokasgrāmatai jāietver norādes par agrīnu pārnesumu pārslēgšanu, vienmērīga ātruma uzturēšanu, ja apgriezienu skaits minūtē ir mazs, un satiksmes plūsmas paredzēšanu. Hibrīdtransportlīdzekļu un elektrotransportlīdzekļu gadījumā jāietver informācija par reģeneratīvās bremzēšanas izmantošanu ar mērķi taupīt enerģiju. No elektrotīkla uzlādējamu hibrīdelektrisku transportlīdzekļu un tādu elektrotransportlīdzekļu gadījumā, kas aprīkoti ar attāluma palielinātājiem, jāietver konkrētas norādes par to, kā maksimāli palielināt to kilometru skaitu, kuri nobraukti, izmantojot elektrību.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RIEPU SPIEDIENA KONTROLES SISTĒMAS (TPMS)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LCV un lieljaudas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TROKŠŅA EMISIJAS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emisijas līmenim jābūt zemākam, nekā noteikts tiesību 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ALTERNATĪVAS DEGVIELAS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 paredz alternatīvu degvielas veidu vai sistēmu izmantošanu</w:t>
            </w:r>
            <w:r>
              <w:tab/>
            </w:r>
            <w:r>
              <w:br/>
            </w:r>
            <w:r w:rsidR="00000000" w:rsidRPr="00000000" w:rsidDel="00000000">
              <w:rPr>
                <w:rtl w:val="0"/>
              </w:rPr>
              <w:t xml:space="preserve">(piem., biodegvielas, elektriskās, ūdeņraža vai hibrīdsistēmas, dabasgāzi).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ZEMĀKAS CO</w:t>
            </w:r>
            <w:r w:rsidR="00000000" w:rsidRPr="00000000" w:rsidDel="00000000">
              <w:rPr>
                <w:vertAlign w:val="subscript"/>
                <w:rtl w:val="0"/>
              </w:rPr>
              <w:t xml:space="preserve">2 </w:t>
            </w:r>
            <w:r w:rsidR="00000000" w:rsidRPr="00000000" w:rsidDel="00000000">
              <w:rPr>
                <w:rtl w:val="0"/>
              </w:rPr>
              <w:t xml:space="preserve">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 </w:t>
            </w:r>
            <w:r w:rsidR="00000000" w:rsidRPr="00000000" w:rsidDel="00000000">
              <w:rPr>
                <w:rtl w:val="0"/>
              </w:rPr>
              <w:t xml:space="preserve">emisijai ir jābūt mazākai par specifikācijās noteikto (1.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NULLES IZPLŪDES 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tiks piešķirti arī transportlīdzekļiem, kas var apliecināt spēju nodrošināt, ka izplūdes emisija ir 0 noteiktajā obligātajā attālumā, proti, attālumā, ko vieglais automobilis var nobraukt bez izplūdes emisijām, proporcionāli transportlīdzekļa jaudai. Pasūtītājs noteiks atsauces robežvērtību obligātajam attālumam, kurā izplūdes emisijai jābūt 0, saskaņā ar uzaicinājumā iesniegt piedāvājumus minētajiem paredzētajiem izmantošanas profiliem (piedāvātais noklusējuma attālums varētu būt 40 km).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13.2. ZPI prasības un kritēriji jauniem sabiedriskajiem transportlīdzekļiem (autobusu iepirkums)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 ar zemu emisiju līmeni iegāde vai iznomāšana.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pakalpojumu sniegšanā izmantoto transportlīdzekļu dzinējiem ir jāatbilst EURO V atgāzu emisijas standartam saskaņā ar Ministru kabineta 2009. gada 22. decembra noteikumiem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transportlīdzekļi nav sertificēti kā atbilstoši EURO V standartam, bet ar vēlāk veiktiem tehniskiem uzlabojumiem ir panākts standartam atbilstošs rezultāts, tas jādokumentē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sniegšanā izmantoto transportlīdzekļu trokšņa līmenim jābūt zemākam, nekā noteikts tiesību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TRANSPORTLĪDZEKĻU RIEPAS —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ir jābūt aprīkotiem ar riepām, kuru trokšņa emisijas līmenis ir mazāks par Eiropas Parlamenta un Padomes 2009. gada 13. jūlija Regulas (EK) Nr. 661/2009 par tipa apstiprināšanas prasībām attiecībā uz mehānisko transportlīdzekļu, to piekabju un tiem paredzēto sistēmu, sastāvdaļu un atsevišķu tehnisko vienību vispārējo drošību II pielikuma C daļā noteikto maksimālo līmeni. Tas atbilst divām (no trim pieejamajām) augstākajām ES riepu marķējuma ārējā rites trokšņa klases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jāapņemas izmantot zemas rites pretestības riepas. Rites pretestībai (gan jaunām riepām, gan riepām ar atjaunotu protektoru), kas izteikta kilogramos uz tonnu (kg/t), jāatbilst šādām robežvērtībām, saskaņā ar piemērojamiem standartiem.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2814"/>
              <w:gridCol w:w="4538"/>
              <w:tblGridChange w:id="0">
                <w:tblGrid>
                  <w:gridCol w:w="2047"/>
                  <w:gridCol w:w="2814"/>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rites pretestība (kg/t)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degvielas patēriņa efektivitātes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rādītāji attiecas uz dzenošajiem riteņiem, kā arī riteņiem ar citām īpašām funkcijām. Izmantotajām dzītā tilta riepām ir jābūt mazākai rites pretestībai nekā tām, ko izmanto piedziņai vai īpašām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RIEPU SPIEDIENA KONTROLES SISTĒMAS (TPMS)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EKOLOĢISKA BRAUKŠANA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Autobusos ir informācija/norādījumi par ekoloģisku braukšanu, kas atbilst transportlīdzeklim.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pakalpojuma sniegšanā izmantoto transportlīdzekļu proporcija, kas atbilst EURO VI atgāzu emisijas standartam saskaņā ar Eiropas Parlamenta un Padomes Regula (EK) Nr. 595/2009 (2009. gada 18. jūnijs) par mehānisko transportlīdzekļu un motoru tipa apstiprinājumu attiecībā uz lielas celtspējas/kravnesības transportlīdzekļu radītām emisijām ( Euro VI), par piekļuvi transportlīdzekļu remonta un tehniskās apkopes informācijai, par grozījumiem Regulā (EK) Nr. 715/2007 un Direktīvā 2007/46/EK un par Direktīvu 80/1269/EEK, 2005/55/EK un 2005/78/EK atcelšanu I pielikuma tabulā noteiktajām "Euro VI" emisijas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ALTERNATĪVAS DEGVIELAS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transportlīdzekļu proporcija, kuri var izmantot alternatīvus degvielas veidus vai sistēmas (piem., biodegvielu, elektrības, ūdeņraža vai hibrīdsistēmas, dabasgāzi).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13.3. ZPI prasības un kritēriji sabiedriskā transporta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par sabiedriskā transporta (autobusu satiksme) pakalpojumu sniegšanu videi nekaitīgā veidā.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pakalpojumu sniegšanā izmantoto transportlīdzekļu dzinējiem ir jāatbilst EURO V atgāzu emisijas standartam saskaņā ar Ministru kabineta 2009. gada 22. decembra noteikumiem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transportlīdzekļi nav sertificēti kā atbilstoši EURO V standartam, bet ar vēlāk veiktiem tehniskiem uzlabojumiem ir panākts standartam atbilstošs rezultāts, tas jādokumentē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sniegšanā izmantoto transportlīdzekļu trokšņa līmenim jābūt zemākam, nekā noteikts tiesību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TRANSPORTLĪDZEKĻU RIEPAS —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ir jābūt aprīkotiem ar riepām, kuru trokšņa emisijas līmenis ir mazāks par Eiropas Parlamenta un Padomes 2009. gada 13. jūlija Regulas (EK) Nr. 661/2009 par tipa apstiprināšanas prasībām attiecībā uz mehānisko transportlīdzekļu, to piekabju un tiem paredzēto sistēmu, sastāvdaļu un atsevišķu tehnisko vienību vispārējo drošību II pielikuma C daļā noteikto maksimālo līmeni. Tas atbilst divām (no trim pieejamajām) augstākajām ES riepu marķējuma ārējā rites trokšņa klases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jāapņemas izmantot zemas rites pretestības riepas. Rites pretestībai (gan jaunām riepām, gan riepām ar atjaunotu protektoru), kas izteikta kilogramos uz tonnu (kg/t), jāatbilst šādām robežvērtībām, saskaņā ar piemērojamiem standartiem.:</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2814"/>
              <w:gridCol w:w="4538"/>
              <w:tblGridChange w:id="0">
                <w:tblGrid>
                  <w:gridCol w:w="2047"/>
                  <w:gridCol w:w="2814"/>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rites pretestība (kg/t)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degvielas patēriņa efektivitātes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rādītāji attiecas uz dzenošajiem riteņiem, kā arī riteņiem ar citām īpašām funkcijām. Izmantotajām dzītā tilta riepām ir jābūt mazākai rites pretestībai nekā tām, ko izmanto piedziņai vai īpašām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RIEPU SPIEDIENA KONTROLES SISTĒMAS (TPMS)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pakalpojuma sniegšanā izmantoto transportlīdzekļu proporcija, kas atbilst EURO VI atgāzu emisijas standartam saskaņā ar Eiropas Parlamenta un Padomes Regula (EK) Nr. 595/2009 (2009. gada 18. jūnijs) par mehānisko transportlīdzekļu un motoru tipa apstiprinājumu attiecībā uz lielas celtspējas/kravnesības transportlīdzekļu radītām emisijām ( Euro VI), par piekļuvi transportlīdzekļu remonta un tehniskās apkopes informācijai, par grozījumiem Regulā (EK) Nr. 715/2007 un Direktīvā 2007/46/EK un par Direktīvu 80/1269/EEK, 2005/55/EK un 2005/78/EK atcelšanu I pielikuma tabulā noteiktajām "Euro VI" emisijas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ALTERNATĪVAS DEGVIELAS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transportlīdzekļu proporcija, kuri var izmantot alternatīvus degvielas veidus vai sistēmas (piem., biodegvielu, elektrības, ūdeņraža vai hibrīdsistēmas, dabasgāzi).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JAUNI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jaunajiem transportlīdzekļiem, kas iegādāti pēc līgumtiesību piešķiršanas un ko izmanto pakalpojuma sniegšanai līguma darbības periodā, ir jāatbilst EURO VI atgāzu emisijas standartam saskaņā ar Eiropas Parlamenta un Padomes Regula (EK) Nr. 595/2009 ( 2009. gada 18. jūnijs) par mehānisko transportlīdzekļu un motoru tipa apstiprinājumu attiecībā uz lielas celtspējas/kravnesības transportlīdzekļu radītām emisijām (Euro VI), par piekļuvi transportlīdzekļu remonta un tehniskās apkopes informācijai, par grozījumiem Regulā (EK) Nr. 715/2007 un Direktīvā 2007/46/EK un par Direktīvu 80/1269/EEK, 2005/55/EK un 2005/78/EK atcelšanu I pielikuma tabulā noteiktajām "Euro VI" emisijas robežvērtībām, un tie jāaprīko ar RSKS (riepu spiediena kontroles sistēma). Transportlīdzekļa izplūdes gāzu izpūtējs nedrīkst atrasties tajā pašā pusē, kur pasažieru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VADĪTĀJU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līguma darbības laikā pakalpojuma sniegšanā iesaistītajiem autovadītājiem atzītā apmācības iestādē ir regulāri jāapgūst vidi saudzējoša autovadīšana, lai palielinātu degvielas ekonomiju.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13.4. ZPI prasības un kritēriji jauniem atkritumu savākšanas automobiļiem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kravas automobiļu ar zemu emisiju līmeni iegāde vai noma.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dzinējiem ir jāatbilst EURO VI atgāzu emisijas standartam saskaņā ar Eiropas Parlamenta un Padomes 2009. gada 18. jūnija Regulas (EK) Nr. 595/2009 par mehānisko transportlīdzekļu un motoru tipa apstiprinājumu attiecībā uz lielas celtspējas/kravnesības transportlīdzekļu radītām emisijām (Euro VI), par piekļuvi transportlīdzekļu remonta un tehniskās apkopes informācijai, par grozījumiem Regulā (EK) Nr. 715/2007 un Direktīvā 2007/46/EK un par Direktīvu 80/1269/EEK, 2005/55/EK un 2005/78/EK atcelšanu I pielikuma tabulā noteiktajām "Euro VI" emisijas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EMISIJAS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ieskaitot sablīvēšanas aprīkojumu, trokšņa emisijas līmenim jābūt zemākam par 102dB (A), mērot saskaņā Ministru kabineta 2002.gada 23.aprīļa noteikumiem Nr.163 "Noteikumi par trokšņa emisiju no iekārtām, kuras izmanto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TRANSPORTLĪDZEKĻU RIEPAS —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ir jābūt aprīkotiem ar riepām, kuru trokšņa emisijas līmenis ir mazāks par Eiropas Parlamenta un Padomes 2009. gada 13. jūlija Regulas (EK) Nr. 661/2009 par tipa apstiprināšanas prasībām attiecībā uz mehānisko transportlīdzekļu, to piekabju un tiem paredzēto sistēmu, sastāvdaļu un atsevišķu tehnisko vienību vispārējo drošību II pielikuma C daļā noteikto maksimālo līmeni. Tas atbilst divām (no trim pieejamajām) augstākajām ES riepu marķējuma ārējā rites trokšņa klases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jāapņemas izmantot zemas rites pretestības riepas. Rites pretestībai (gan jaunām riepām, gan riepām ar atjaunotu protektoru), kas izteikta kilogramos uz tonnu (kg/t), jāatbilst šādām robežvērtībām, saskaņā ar ISO 28580: 2009 "Vieglo automobiļu, kravas automobiļu un autobusu riepas. Rites pretestības mērīšanas metodes. Vienotā punkta tests un mērījumu rezultātu korelācija" vai līdzvērtīgu standartu:</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3580"/>
              <w:gridCol w:w="4730"/>
              <w:tblGridChange w:id="0">
                <w:tblGrid>
                  <w:gridCol w:w="1185"/>
                  <w:gridCol w:w="358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rites pretestība (kg/t)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degvielas patēriņa efektivitātes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rādītāji attiecas uz dzenošajiem riteņiem, kā arī riteņiem ar citām īpašām funkcijām. Izmantotajām dzītā tilta riepām ir jābūt mazākai rites pretestībai nekā tām, ko izmanto piedziņai vai īpašām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RIEPU SPIEDIENA KONTROLES SISTĒMAS (TPMS)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LCV un lieljaudas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ALTERNATĪVAS DEGVIELAS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 paredz alternatīvu degvielas veidu vai sistēmu izmantošanu (piemēram, biodegvielas, elektriskās, ūdeņraža vai hibrīdsistēmas).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 ZPI prasības un kritēriji atkritumu savākšanas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par atkritumu savākšanas pakalpojumu sniegšanu videi nekaitīgā veidā.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pakalpojumu sniegšanā izmantoto transportlīdzekļu dzinējiem ir jāatbilst EURO V atgāzu emisijas standartam saskaņā ar Ministru kabineta 2009. gada 22. decembra noteikumiem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transportlīdzekļi nav sertificēti kā atbilstoši EURO V standartam, bet ar vēlāk veiktiem tehniskiem uzlabojumiem ir panākts standartam atbilstošs rezultāts, tas jādokumentē iepirkuma procedūras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sniegšanā izmantoto transportlīdzekļu trokšņa līmenim ir jābūt zemākam par 102 dB (A), mērot saskaņā ar Ministru kabineta 2002.gada 23.aprīļa noteikumiem Nr.163 "Noteikumi par trokšņa emisiju no iekārtām, kuras izmanto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TRANSPORTLĪDZEKĻU RIEPAS —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ir jābūt aprīkotiem ar riepām, kuru trokšņa emisijas līmenis ir mazāks par Eiropas Parlamenta un Padomes 2009. gada 13. jūlija Regulas (EK) Nr. 661/2009 par tipa apstiprināšanas prasībām attiecībā uz mehānisko transportlīdzekļu, to piekabju un tiem paredzēto sistēmu, sastāvdaļu un atsevišķu tehnisko vienību vispārējo drošību II pielikuma C daļā noteikto maksimālo līmeni. Tas atbilst divām (no trim pieejamajām) augstākajām ES riepu marķējuma ārējā rites trokšņa klases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ir jāapņemas izmantot zemas rites pretestības riepas. Rites pretestībai (gan jaunām riepām, gan riepām ar atjaunotu protektoru), kas izteikta kilogramos uz tonnu (kg/t), jāatbilst šādām robežvērtībām, saskaņā ar ISO 28580: 2009 "Vieglo automobiļu, kravas automobiļu un autobusu riepas. Rites pretestības mērīšanas metodes. Vienotā punkta tests un mērījumu rezultātu korelācija", vai līdzvērtīgu standartu:</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3580"/>
              <w:gridCol w:w="3964"/>
              <w:tblGridChange w:id="0">
                <w:tblGrid>
                  <w:gridCol w:w="1856"/>
                  <w:gridCol w:w="3580"/>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rites pretestība (kg/t)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degvielas patēriņa efektivitātes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rādītāji attiecas uz dzenošajiem riteņiem, kā arī riteņiem ar citām īpašām funkcijām. Izmantotajām dzītā tilta riepām ir jābūt mazākai rites pretestībai nekā tām, ko izmanto piedziņai vai īpašām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RIEPU SPIEDIENA KONTROLES SISTĒMAS (TPMS)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LCV un lieljaudas transportlīdzekļiem jābūt aprīkotiem ar riepu spiediena kontroles sistēmām, t. 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VIDES VADĪBAS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Pretendentiem jābūt sagatavotām rakstiskām procedūrām, kuru mērķis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Pārraudzīt un atzīmēt pakalpojuma siltumnīcefekta gāzu un gaisu piesārņojošu vielu emisijas. Jāizmanto radītāji par pakalpojuma emisijām un enerģijas patēriņu kopā gadā un uz transportēto pasažieru/tonnu/vienību skaitu kilometrā vai cita vienība, kas atspoguļo pakalpojuma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Ieviest emisiju samazināšanas plānu ar pasākumiem, kuru mērķis ir samazināt siltumnīcefekta gāzu emisijas un gaisu piesārņojošu vielu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emisiju samazināšanas plāna izvēršanu, sekojot līdzi izmaiņām rādītājos un plāna pasākumu īstenošanai praksē;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Īstenot nepieciešamos pasākumus ar mērķi labot novirzes no plāna vai rādītāju palielināšanos un, ja iespējams, novērst to nākotnē.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tiek piešķirti par šādu kritēriju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pakalpojuma sniegšanā izmantoto transportlīdzekļu proporcija, kas atbilst EURO VI atgāzu emisijas standartam saskaņā ar Eiropas Parlamenta un Padomes Regula (EK) Nr. 595/2009 (2009. gada 18. jūnijs) par mehānisko transportlīdzekļu un motoru tipa apstiprinājumu attiecībā uz lielas celtspējas/kravnesības transportlīdzekļu radītām emisijām (Euro VI), par piekļuvi transportlīdzekļu remonta un tehniskās apkopes informācijai, par grozījumiem Regulā (EK) Nr. 715/2007 un Direktīvā 2007/46/EK un par Direktīvu 80/1269/EEK, 2005/55/EK un 2005/78/EK atcelšanu I pielikuma tabulā noteiktajām "Euro VI" emisijas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ALTERNATĪVAS DEGVIELAS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transportlīdzekļu proporciju, kuru konstrukcija paredz alternatīvu degvielas veidu vai sistēmu izmantošanu (piemēram, biodegvielas, elektriskās, ūdeņraža vai hibrīdsistēmas).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JAUNI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jaunajiem transportlīdzekļiem, kas iegādāti pēc līgumtiesību piešķiršanas un ko izmanto pakalpojuma sniegšanai līguma darbības periodā, ir jāatbilst EURO VI atgāzu emisijas standartam saskaņā ar Eiropas Parlamenta un Padomes Regula (EK) Nr. 595/2009 (2009. gada 18. jūnijs) par mehānisko transportlīdzekļu un motoru tipa apstiprinājumu attiecībā uz lielas celtspējas/kravnesības transportlīdzekļu radītām emisijām (Euro VI), par piekļuvi transportlīdzekļu remonta un tehniskās apkopes informācijai, par grozījumiem Regulā (EK) Nr. 715/2007 un Direktīvā 2007/46/EK un par Direktīvu 80/1269/EEK, 2005/55/EK un 2005/78/EK atcelšanu I pielikuma tabulā noteiktajām "Euro VI" emisijas robežvērtībām, un tie jāaprīko ar RSKS (riepu spiediena kontroles sistēma). Transportlīdzekļa izplūdes gāzu izpūtējs nedrīkst atrasties tajā pašā pusē, kur pasažieru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VADĪTĀJU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līguma darbības laikā pakalpojuma sniegšanā iesaistītajiem autovadītājiem atzītā apmācības iestādē ir regulāri jāapgūst vidi saudzējoša autovadīšana, lai palielinātu degvielas ekonomiju.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VIDES VADĪBAS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sniedzējam visā līguma darbības laikā ir jādokumentē un jāziņo informācija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rādītāju uzraudzības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attiecīgā gadījumā izvērtēšanas un korektīvo un profilaktisko pasākumu rezultātiem saskaņā ar rakstiskajām procedūrām.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Jānodrošina šo ziņojumu pieejamība Pasūtītājam, lai tā varētu veikt pārbaudi.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 Veselības aprūpes elektriskās un elektroniskās iekārtas (veselības aprūpes EEI)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EEI kritērijos ietvertas gan augstsprieguma, gan zemsprieguma iekārtas. Tās aptver visu aprūpes ciklu, kā norādīts Ministru kabineta 2017. gada 28. novembra noteikumos Nr. 689 "Medicīnisko ierīču reģistrācijas, atbilstības novērtēšanas, izplatīšanas, ekspluatācijas un tehniskās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norādītās prasības un kritērijus paredzēts izmantot šādu ražojumu iepirkuma procedūrās: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33157000-5: anestēzijas iekārtas – ventilatori (intensīvās aprūpes ventilatori, izņemot transporta ventilatorus, anestēzijas ventilatori, izņemot mājas ventilatorus);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33195100-4: pacientu novērošanas monitori;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33115100-0: datortomogrāfijas (DT)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33123200-0: elektrokardiogrāfijas (EKG) iekārtas (diagnostikas);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33168100-6: endoskopiskās iekārtas (kamera, endoskops, gaisma,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39330000-4: skalošanas–dezinfekcijas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33181100-3: hemodialīzes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33161000-6: AF, RF ķirurģiskās iekārtas, diatermijas iekārtas (divpolu, vienpola);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33152000-0: inkubatori zīdaiņiem (stacionāri);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33194110-0: infūzijas sūkņi un perfuzori;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33157400-9: intensīvās aprūpes iekārtas – aktīvie elpošanas gāzu mitrinātāji;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33169100-3: ķirurģiskie lāzerinstrumenti;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33111610-0: magnētiskās rezonanses attēldiagnostikas (MRI)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39711120-6: medicīniskās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31524110-9: medicīniskais apgaismojums – operāciju zāles lampas;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33191110-9: medicīniskie autoklāvi;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33160000-9, 33162000-3: pacientu sildīšanas sistēmas (segas, polsteri, matrači);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33112200-0: ultraskaņas iekārtas (izņemot terapeitiskās);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33191000-5: mazgāšanas–dezinfekcijas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CPV 33111000-1, 33111650-2: rentgena iekārtas (tostarp mamogrāfijas, izņemot osteoporozes).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14.1. ZPI prasības attiecībā uz visiem iekārtu veidiem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veselības aprūpes nozarē izmantojamu elektrisko un elektronisko iekārtu iepirkums, kam ir samazināta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INSTRUKCIJAS LIETOTĀJIEM PAR EKOLOĢISKO RAKSTURLIELUMU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rokasgrāmata ar instrukcijām par to, kā maksimāli izmantot konkrētās medicīniskās iekārtas ekoloģiskos raksturlielumus, rakstveidā, vai nu īpašā lietotāja rokasgrāmatas daļā, vai digitālā formātā, kas pieejams ražotāja tīmekļa vietnē, vai CD, vai arī papīra formātā uz iepakojuma vai uz ražojuma pavaddokumentiem. Instrukciju rokasgrāmata būs pieejama kopā ar iekārtu. Dokumentācijā, kā minimālo prasību un nekaitējot iekārtas klīniskajiem raksturlielumiem, iekļauj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1.1.Instrukcijas lietotājiem par to, kā izmantot iekārtu, lai līdz minimumam samazinātu ietekmi uz vidi iekārtas uzstādīšanas, lietošanas, apkopes un pārstrādes/iznīcināšanas laikā, tostarp instrukcijas par to, kā līdz minimumam samazināt enerģijas un ūdens patēriņu, patērējamos materiālus/daļas,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1.2.Ieteikumus par ražojuma pareizu tehnisko apkopi, tostarp informāciju par to, kuras rezerves daļas var nomainīt, tīrīšanas ieteikumus.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1.3.Informāciju par atbilstoši šim līgumam iepirktajā (-os) ražojumā (-os) esošo tādu vielu saturu, kas iekļautas ļoti lielas bažas izraisošu vielu (SVHC) kandidātvielu sarakstā un kas noteiktas atbilstoši Eiropas Parlamenta un Padomes 2006. gada 18. decembra Regulas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57. pantam, lai līgumslēdzēja iestāde veiktu atbilstošus piesardzības pasākumus, lai varētu nodrošināt, ka ražojuma lietotāji saņem informāciju un var attiecīgi rīkoties.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RAŽOJUMU EKSPLUATĀCIJAS ILGUMS UN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ražojumu attiecas ražotāja sniegta garantija remontam vai nomaiņai. Turklāt piegādātājs nodrošina, ka ir pieejamas oriģinālas vai līdzvērtīgas rezerves daļas (tieši vai ar citu izraudzītu pārstāvju starpniecību) iekārtas paredzētajam ekspluatācijas laikam vismaz 5 gadu garantijas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APMĀCĪBA ENERGOEFEKTIVITĀTES UZLABOŠANAS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nodrošina apmācību, kas ietver elementus saistībā ar iekārtas parametru, kuros izmanto elektrību (piemēram, gaidstāves režīms), pielāgošanu un noregulēšanu, lai optimizētu elektrības izmantošanu. Apmācību var ietvert klīniskajā un tehniskajā apmācībā, ko sniedz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UZSTĀDĪŠANA, UZLABOJOT ENERGOEFEKTIVITĀTI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uzstādot iekārtu, sniedz lietotāja vajadzību novērtējumu (t. i., aprūpes nodaļā) (piemēram, par lietošanas biežumu, pārbaužu veidu u. c.). Pamatojoties uz analīzi, iegādātājs sniedz pasūtītājam dokumentāciju un informāciju par to, kā optimizēt iepirkto iekārtu elektroenerģijas patēriņa parametrus. Attiecīgā gadījumā šo procesu atkārto un pārskata katrā iekārtas profilaktiskās apkopes laikā, ko veic piegādātājs.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ĻOTI LIELAS BAŽAS IZRAISOŠU VIELU KANDIDĀTVIELU SARAKSTA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laikā pēc ražojuma piegādes, 6 mēnešu laikā pēc tam, kad ECHA publicē pārskatītu SVHC kandidātvielu sarakstu, piegādātājs pasūtītāju informē par vienas vai vairāku šajā sarakstā esošo jauno vielu klātbūtni visos atbilstoši līgumam iepirktajos ražojumos, arī par riska pārvaldības dokumentācijas pārskata rezultātiem, lai pasūtītājs veiktu atbilstošus piesardzības pasākumus, t. i., lai varētu nodrošināt, ka ražojuma lietotāji saņem informāciju un var attiecīgi rīkoties.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14.2. ZPI kritēriji energoefektivitātei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kritēriji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Energoefektivitātes prasības ir ierosinātas kā piedāvājuma izvērtēšanas</w:t>
            </w:r>
            <w:r w:rsidR="00000000" w:rsidRPr="00000000" w:rsidDel="00000000">
              <w:rPr>
                <w:rtl w:val="0"/>
              </w:rPr>
              <w:t xml:space="preserve"> </w:t>
            </w:r>
            <w:r w:rsidR="00000000" w:rsidRPr="00000000" w:rsidDel="00000000">
              <w:rPr>
                <w:b w:val="1"/>
                <w:i w:val="1"/>
                <w:rtl w:val="0"/>
              </w:rPr>
              <w:t xml:space="preserve">kritēriji.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APRŪPES EEI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(neattiecas uz DT iekārtām, hemodialīzes iekārtām, MRI, medicīniskiem autoklāviem un dezinfekcijas iekārtām)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dienā E (kWh)/dienā), kā norādīts turpmāk sniegtajā tabulā (jo zemāks enerģijas patēriņš dienā,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Režīmu definīcijas un ierosinātie verifikācijas līdzekļi ir norādīti vadlīnijās. Attiecībā uz inkubatoriem un medicīniskajām saldētavām punktus piešķir atbilstoši enerģijas patēriņam dienā uz tilpumu E (kWh/dienā un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Pasūtītājam jānorāda iekārtas gaidāmie ikdienas lietošanas veidi ("pielāgotais scenārijs"), piegādātājam jānorāda iekārtas enerģijas patēriņš dažādos režīmos. Iepriekš noteiktais lietošanas scenārijs ir ieteikums pasūtītājam, pamatojoties uz parastajiem lietošanas scenārijiem Eiropas slimnīcās. Tomēr pasūtītājs var brīvi pielāgot lietošanas scenāriju īpašajām vajadzībām.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1377"/>
        <w:gridCol w:w="1760"/>
        <w:gridCol w:w="1760"/>
        <w:gridCol w:w="1377"/>
        <w:gridCol w:w="1472"/>
        <w:gridCol w:w="1856"/>
        <w:tblGridChange w:id="0">
          <w:tblGrid>
            <w:gridCol w:w="1472"/>
            <w:gridCol w:w="1377"/>
            <w:gridCol w:w="1760"/>
            <w:gridCol w:w="1760"/>
            <w:gridCol w:w="1377"/>
            <w:gridCol w:w="1472"/>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Režīms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Pielāgots scenārijs</w:t>
            </w:r>
            <w:r>
              <w:br/>
            </w:r>
            <w:r w:rsidR="00000000" w:rsidRPr="00000000" w:rsidDel="00000000">
              <w:rPr>
                <w:i w:val="1"/>
                <w:rtl w:val="0"/>
              </w:rPr>
              <w:t xml:space="preserve">Norāda pasūtītājs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Iepriekš noteikts lietošanas scenārijs</w:t>
            </w:r>
            <w:r>
              <w:br/>
            </w:r>
            <w:r w:rsidR="00000000" w:rsidRPr="00000000" w:rsidDel="00000000">
              <w:rPr>
                <w:i w:val="1"/>
                <w:rtl w:val="0"/>
              </w:rPr>
              <w:t xml:space="preserve">(norādījumi)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Enerģija lietošanas posmā</w:t>
            </w:r>
            <w:r>
              <w:br/>
            </w:r>
            <w:r w:rsidR="00000000" w:rsidRPr="00000000" w:rsidDel="00000000">
              <w:rPr>
                <w:i w:val="1"/>
                <w:rtl w:val="0"/>
              </w:rPr>
              <w:t xml:space="preserve">Norāda piegādātājs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Enerģijas patēriņa (E) aprēķins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Aktīvais elpošanas gāzu mitrinātājs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w:t>
            </w:r>
            <w:r w:rsidR="00000000" w:rsidRPr="00000000" w:rsidDel="00000000">
              <w:rPr>
                <w:b w:val="1"/>
                <w:rtl w:val="0"/>
              </w:rPr>
              <w:t xml:space="preserve">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Pacientu novērošanas monitori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w:t>
            </w:r>
            <w:r w:rsidR="00000000" w:rsidRPr="00000000" w:rsidDel="00000000">
              <w:rPr>
                <w:b w:val="1"/>
                <w:rtl w:val="0"/>
              </w:rPr>
              <w:t xml:space="preserve">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EKG</w:t>
            </w:r>
            <w:r w:rsidR="00000000" w:rsidRPr="00000000" w:rsidDel="00000000">
              <w:rPr>
                <w:rtl w:val="0"/>
              </w:rPr>
              <w:t xml:space="preserve"> (elektrokardio-grāfijas) iekārta (diagnostikas)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(T</w:t>
            </w:r>
            <w:r w:rsidR="00000000" w:rsidRPr="00000000" w:rsidDel="00000000">
              <w:rPr>
                <w:vertAlign w:val="subscript"/>
                <w:rtl w:val="0"/>
              </w:rPr>
              <w:t xml:space="preserve">3</w:t>
            </w:r>
            <w:r w:rsidR="00000000" w:rsidRPr="00000000" w:rsidDel="00000000">
              <w:rPr>
                <w:rtl w:val="0"/>
              </w:rPr>
              <w:t xml:space="preserve">*P</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bscript"/>
                <w:rtl w:val="0"/>
              </w:rPr>
              <w:t xml:space="preserve"> </w:t>
            </w:r>
            <w:r w:rsidR="00000000" w:rsidRPr="00000000" w:rsidDel="00000000">
              <w:rPr>
                <w:rtl w:val="0"/>
              </w:rPr>
              <w:t xml:space="preserve">=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 (ierīcēm, kam ir šāds režīms)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r w:rsidR="00000000" w:rsidRPr="00000000" w:rsidDel="00000000">
              <w:rPr>
                <w:rtl w:val="0"/>
              </w:rPr>
              <w:t xml:space="preserve"> =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Endoskopiskā iekārta</w:t>
            </w:r>
            <w:r w:rsidR="00000000" w:rsidRPr="00000000" w:rsidDel="00000000">
              <w:rPr>
                <w:rtl w:val="0"/>
              </w:rPr>
              <w:t xml:space="preserve"> (kamera, endoskops, gaisma, kompresors)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 </w:t>
            </w:r>
            <w:r w:rsidR="00000000" w:rsidRPr="00000000" w:rsidDel="00000000">
              <w:rPr>
                <w:rtl w:val="0"/>
              </w:rPr>
              <w:t xml:space="preserve">= stundu skaits šajā režīmā dienā, ievērojot šādus nosacījumus, ko attiecībā uz gaismas avotu norādījis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Lux = gaismas intensitāte; Ra = krāsu atveides indekss; krāsu temperatūra (kelvinos); ekspluatācijas ilgums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 </w:t>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 </w:t>
            </w:r>
            <w:r w:rsidR="00000000" w:rsidRPr="00000000" w:rsidDel="00000000">
              <w:rPr>
                <w:rtl w:val="0"/>
              </w:rPr>
              <w:t xml:space="preserve">=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AF ķirurģiskās iekārtas, diatermijas iekārtas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ekspluatācijas stundu skaits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 </w:t>
            </w:r>
            <w:r w:rsidR="00000000" w:rsidRPr="00000000" w:rsidDel="00000000">
              <w:rPr>
                <w:rtl w:val="0"/>
              </w:rPr>
              <w:t xml:space="preserve">= mēra ar slodzi 500 Ω vienpola un 50 Ω — divpolu iekārtām, ilgums 30 sekundes)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ekspluatācijas stundu skaits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Inkubators zīdaiņiem (stacionārs)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Precizēt: vieta pacientiem, piemēram, vieta pacientiem līdz 6 kg un 60 cm garumam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inkubators ir piemērots līdz 6 kg smagiem un 60 cm gariem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1 </w:t>
            </w:r>
            <w:r w:rsidR="00000000" w:rsidRPr="00000000" w:rsidDel="00000000">
              <w:rPr>
                <w:rtl w:val="0"/>
              </w:rPr>
              <w:t xml:space="preserve">= (T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uz 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V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tiks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 = tāda inkubatora tilpums (m</w:t>
            </w:r>
            <w:r w:rsidR="00000000" w:rsidRPr="00000000" w:rsidDel="00000000">
              <w:rPr>
                <w:i w:val="1"/>
                <w:vertAlign w:val="superscript"/>
                <w:rtl w:val="0"/>
              </w:rPr>
              <w:t xml:space="preserve">3</w:t>
            </w:r>
            <w:r w:rsidR="00000000" w:rsidRPr="00000000" w:rsidDel="00000000">
              <w:rPr>
                <w:i w:val="1"/>
                <w:rtl w:val="0"/>
              </w:rPr>
              <w:t xml:space="preserve">), kas atbilst nosacījumiem (vieta), kurus norādījis pasūtītājs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Infūzijas sūkņi un perfuzori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Ķirurģiskie lāzerinstrumenti, vienlaidu lāzeri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(T</w:t>
            </w:r>
            <w:r w:rsidR="00000000" w:rsidRPr="00000000" w:rsidDel="00000000">
              <w:rPr>
                <w:vertAlign w:val="subscript"/>
                <w:rtl w:val="0"/>
              </w:rPr>
              <w:t xml:space="preserve">3</w:t>
            </w:r>
            <w:r w:rsidR="00000000" w:rsidRPr="00000000" w:rsidDel="00000000">
              <w:rPr>
                <w:rtl w:val="0"/>
              </w:rPr>
              <w:t xml:space="preserve">*P</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bscript"/>
                <w:rtl w:val="0"/>
              </w:rPr>
              <w:t xml:space="preserve"> </w:t>
            </w:r>
            <w:r w:rsidR="00000000" w:rsidRPr="00000000" w:rsidDel="00000000">
              <w:rPr>
                <w:rtl w:val="0"/>
              </w:rPr>
              <w:t xml:space="preserve">=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 (lāzera gaidstāve)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r w:rsidR="00000000" w:rsidRPr="00000000" w:rsidDel="00000000">
              <w:rPr>
                <w:rtl w:val="0"/>
              </w:rPr>
              <w:t xml:space="preserve"> =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tiks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Medicīniskās saldētavas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 Precizēt: saldētavas izmantojamais tilpums, iekšējā tilpuma garums, platums un augstums = V, tilpums (m</w:t>
            </w:r>
            <w:r w:rsidR="00000000" w:rsidRPr="00000000" w:rsidDel="00000000">
              <w:rPr>
                <w:vertAlign w:val="superscript"/>
                <w:rtl w:val="0"/>
              </w:rPr>
              <w:t xml:space="preserve">3</w:t>
            </w:r>
            <w:r w:rsidR="00000000" w:rsidRPr="00000000" w:rsidDel="00000000">
              <w:rPr>
                <w:rtl w:val="0"/>
              </w:rPr>
              <w:t xml:space="preserve">), kā arī nepieciešamā temperatūra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V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tiks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 = tilpums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Medicīniskais apgaismojums (operāciju zāles lampas)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 </w:t>
            </w:r>
            <w:r w:rsidR="00000000" w:rsidRPr="00000000" w:rsidDel="00000000">
              <w:rPr>
                <w:rtl w:val="0"/>
              </w:rPr>
              <w:t xml:space="preserve">= stundu skaits šajā režīmā dienā, ievērojot šādus nosacījumus, ko norādījis pasūtītājs: Lux = gaismas intensitāte;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 = krāsu atveides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perscript"/>
                <w:rtl w:val="0"/>
              </w:rPr>
              <w:t xml:space="preserve">o</w:t>
            </w:r>
            <w:r w:rsidR="00000000" w:rsidRPr="00000000" w:rsidDel="00000000">
              <w:rPr>
                <w:rtl w:val="0"/>
              </w:rPr>
              <w:t xml:space="preserve"> = krāsu temperatūra (kelvinos); ekspluatācijas ilgums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 </w:t>
            </w:r>
            <w:r w:rsidR="00000000" w:rsidRPr="00000000" w:rsidDel="00000000">
              <w:rPr>
                <w:rtl w:val="0"/>
              </w:rPr>
              <w:t xml:space="preserve">= mērot lampas tipam, kas atbilst pasūtītāja norādītajiem nosacījumiem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Pacientu sildīšanas sistēmas (segas, polsteri, matrači)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piespiedu ventilācijas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P</w:t>
            </w:r>
            <w:r w:rsidR="00000000" w:rsidRPr="00000000" w:rsidDel="00000000">
              <w:rPr>
                <w:vertAlign w:val="subscript"/>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F</w:t>
            </w:r>
            <w:r w:rsidR="00000000" w:rsidRPr="00000000" w:rsidDel="00000000">
              <w:rPr>
                <w:rtl w:val="0"/>
              </w:rPr>
              <w:t xml:space="preserve">)+ (T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P=jauda (kW). Jaudas mērījumi atbilstoši vadlīnijās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F</w:t>
            </w:r>
            <w:r w:rsidR="00000000" w:rsidRPr="00000000" w:rsidDel="00000000">
              <w:rPr>
                <w:i w:val="1"/>
                <w:rtl w:val="0"/>
              </w:rPr>
              <w:t xml:space="preserve"> = piespiedu ventilācijas ierīces jauda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Ultraskaņas iekārta, izņemot terapeitisko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skenēšanas gatavība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(T</w:t>
            </w:r>
            <w:r w:rsidR="00000000" w:rsidRPr="00000000" w:rsidDel="00000000">
              <w:rPr>
                <w:vertAlign w:val="subscript"/>
                <w:rtl w:val="0"/>
              </w:rPr>
              <w:t xml:space="preserve">3</w:t>
            </w:r>
            <w:r w:rsidR="00000000" w:rsidRPr="00000000" w:rsidDel="00000000">
              <w:rPr>
                <w:rtl w:val="0"/>
              </w:rPr>
              <w:t xml:space="preserve">*P</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bscript"/>
                <w:rtl w:val="0"/>
              </w:rPr>
              <w:t xml:space="preserve"> </w:t>
            </w:r>
            <w:r w:rsidR="00000000" w:rsidRPr="00000000" w:rsidDel="00000000">
              <w:rPr>
                <w:rtl w:val="0"/>
              </w:rPr>
              <w:t xml:space="preserve">=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3</w:t>
            </w:r>
            <w:r w:rsidR="00000000" w:rsidRPr="00000000" w:rsidDel="00000000">
              <w:rPr>
                <w:rtl w:val="0"/>
              </w:rPr>
              <w:t xml:space="preserve"> =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sniegtas vadlīnijās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bateriju darbināmām ultraskaņas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(kWh), lai pilnībā uzlādētu bateriju: E</w:t>
            </w:r>
            <w:r w:rsidR="00000000" w:rsidRPr="00000000" w:rsidDel="00000000">
              <w:rPr>
                <w:vertAlign w:val="subscript"/>
                <w:rtl w:val="0"/>
              </w:rPr>
              <w:t xml:space="preserve">charge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dienā ar bateriju darbināmiem modeļiem: E</w:t>
            </w:r>
            <w:r w:rsidR="00000000" w:rsidRPr="00000000" w:rsidDel="00000000">
              <w:rPr>
                <w:vertAlign w:val="subscript"/>
                <w:rtl w:val="0"/>
              </w:rPr>
              <w:t xml:space="preserve">charge</w:t>
            </w:r>
            <w:r w:rsidR="00000000" w:rsidRPr="00000000" w:rsidDel="00000000">
              <w:rPr>
                <w:rtl w:val="0"/>
              </w:rPr>
              <w:t xml:space="preserve">*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Ventilatori </w:t>
            </w:r>
            <w:r w:rsidR="00000000" w:rsidRPr="00000000" w:rsidDel="00000000">
              <w:rPr>
                <w:i w:val="1"/>
                <w:rtl w:val="0"/>
              </w:rPr>
              <w:t xml:space="preserve"> (intensīvās aprūpes ventilatori, izņemot transporta ventilatorus, anestēzijas ventilatori, izņemot mājas ventilatorus)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24 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vadlīnijās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Rentgena iekārtas, tostarp mamogrāfijas, izņemot osteoporozes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 =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1</w:t>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w:t>
            </w:r>
            <w:r w:rsidR="00000000" w:rsidRPr="00000000" w:rsidDel="00000000">
              <w:rPr>
                <w:b w:val="1"/>
                <w:rtl w:val="0"/>
              </w:rPr>
              <w:t xml:space="preserve">E (kWh) dienā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w:t>
            </w:r>
            <w:r w:rsidR="00000000" w:rsidRPr="00000000" w:rsidDel="00000000">
              <w:rPr>
                <w:rtl w:val="0"/>
              </w:rPr>
              <w:t xml:space="preserve"> =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vadlīnijās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Ieteiktais lietošanas scenārijs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mērījumi atbilstoši vadlīnijās norādītajam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DATORTOMOGRĀFIJAS (DT) IEKĀRTAS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dienā E (kWh)/dienā), sk. turpmāk (jo zemāks enerģijas patēriņš dienā,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Pasūtītājam jānorāda iekārtas gaidāmie ikdienas lietošanas veidi ("pielāgotais scenārijs"), pretendentam jānorāda iekārtas patērētā jauda dažādos režīmos. Iepriekš noteiktais lietošanas scenārijs ir ieteikums pasūtītājam. Tomēr pasūtītājs var brīvi pielāgot lietošanas scenāriju īpašajām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Iepriekš noteikts lietošanas scenārijs</w:t>
      </w:r>
      <w:r w:rsidR="00000000" w:rsidRPr="00000000" w:rsidDel="00000000">
        <w:rPr>
          <w:rtl w:val="0"/>
        </w:rPr>
        <w:t xml:space="preserve"> (</w:t>
      </w:r>
      <w:r w:rsidR="00000000" w:rsidRPr="00000000" w:rsidDel="00000000">
        <w:rPr>
          <w:i w:val="1"/>
          <w:rtl w:val="0"/>
        </w:rPr>
        <w:t xml:space="preserve">izmantojams kā atsauce, salīdzinot DT iekārtas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norāda enerģijas patēriņu dienā, E (kWh)/dienā), vienam no 3 scenārijiem atbilstoši metodoloģijai un testa nosacījumiem, kas norādīti COCIR SRI datortomogrāfijas iekārtai, skatīt COCIR SRI tīmekļvietni, vai līdzvērtīgiem nosacījumiem. Pasūtītājs norāda, kuriem scenārijiem tiks sniegts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2.1.Scenārijs "izslēgts": enerģijas patēriņš atbilstoši lietošanas scenārijam 20 skenēšanas procedūras dienā un 12 stundas izslēgtā režīmā pa nakti.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2.2.Scenārijs "brīvgaitas": enerģijas patēriņš atbilstoši lietošanas scenārijam 20 skenēšanas procedūras dienā un 12 stundas brīvgaitas režīmā pa nakti.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2.3.Scenārijs "mazjaudas": enerģijas patēriņš atbilstoši lietošanas scenārijam 20 skenēšanas procedūras dienā un 12 stundas mazjaudas režīmā pa nakti.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Pielāgots lietošanas scenārijs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norāda šādas vērtības atbilstoši metodoloģijai un testa nosacījumiem, kas norādīti COCIR SRI datortomogrāfijas iekārtai, skatīt COCIR SRI tīmekļvietni, vai līdzvērtīgiem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Off</w:t>
      </w:r>
      <w:r w:rsidR="00000000" w:rsidRPr="00000000" w:rsidDel="00000000">
        <w:rPr>
          <w:rtl w:val="0"/>
        </w:rPr>
        <w:t xml:space="preserve">: patērētā jauda (kW) izslēgtā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Idle</w:t>
      </w:r>
      <w:r w:rsidR="00000000" w:rsidRPr="00000000" w:rsidDel="00000000">
        <w:rPr>
          <w:rtl w:val="0"/>
        </w:rPr>
        <w:t xml:space="preserve">: patērētā jauda (kW) brīvgaitas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Low</w:t>
      </w:r>
      <w:r w:rsidR="00000000" w:rsidRPr="00000000" w:rsidDel="00000000">
        <w:rPr>
          <w:rtl w:val="0"/>
        </w:rPr>
        <w:t xml:space="preserve">: patērētā jauda (kW) mazjaudas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Scan</w:t>
      </w:r>
      <w:r w:rsidR="00000000" w:rsidRPr="00000000" w:rsidDel="00000000">
        <w:rPr>
          <w:rtl w:val="0"/>
        </w:rPr>
        <w:t xml:space="preserve">: enerģijas patēriņš vēderdobuma skenēšanas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Scan</w:t>
      </w:r>
      <w:r w:rsidR="00000000" w:rsidRPr="00000000" w:rsidDel="00000000">
        <w:rPr>
          <w:rtl w:val="0"/>
        </w:rPr>
        <w:t xml:space="preserve">: vēderdobuma skenēšanas ilgums (no pieprasījuma brīža līdz jaudas pārslēgšanai atpakaļ brīvgaitas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patēriņu dienā var aprēķināt atbilstoši šādai formulai (vērtības </w:t>
      </w:r>
      <w:r w:rsidR="00000000" w:rsidRPr="00000000" w:rsidDel="00000000">
        <w:rPr>
          <w:i w:val="1"/>
          <w:rtl w:val="0"/>
        </w:rPr>
        <w:t xml:space="preserve"> kursīvā</w:t>
      </w:r>
      <w:r w:rsidR="00000000" w:rsidRPr="00000000" w:rsidDel="00000000">
        <w:rPr>
          <w:rtl w:val="0"/>
        </w:rPr>
        <w:t xml:space="preserve"> nosaka pasūtītājs, treknrakstā — deklarē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E=kWh/dienā = P</w:t>
      </w:r>
      <w:r w:rsidR="00000000" w:rsidRPr="00000000" w:rsidDel="00000000">
        <w:rPr>
          <w:b w:val="1"/>
          <w:vertAlign w:val="subscript"/>
          <w:rtl w:val="0"/>
        </w:rPr>
        <w:t xml:space="preserve">Off</w:t>
      </w:r>
      <w:r w:rsidR="00000000" w:rsidRPr="00000000" w:rsidDel="00000000">
        <w:rPr>
          <w:b w:val="1"/>
          <w:rtl w:val="0"/>
        </w:rPr>
        <w:t xml:space="preserve"> ×</w:t>
      </w:r>
      <w:r w:rsidR="00000000" w:rsidRPr="00000000" w:rsidDel="00000000">
        <w:rPr>
          <w:b w:val="1"/>
          <w:i w:val="1"/>
          <w:rtl w:val="0"/>
        </w:rPr>
        <w:t xml:space="preserve">T</w:t>
      </w:r>
      <w:r w:rsidR="00000000" w:rsidRPr="00000000" w:rsidDel="00000000">
        <w:rPr>
          <w:b w:val="1"/>
          <w:i w:val="1"/>
          <w:vertAlign w:val="subscript"/>
          <w:rtl w:val="0"/>
        </w:rPr>
        <w:t xml:space="preserve">Off</w:t>
      </w:r>
      <w:r w:rsidR="00000000" w:rsidRPr="00000000" w:rsidDel="00000000">
        <w:rPr>
          <w:b w:val="1"/>
          <w:i w:val="1"/>
          <w:rtl w:val="0"/>
        </w:rPr>
        <w:t xml:space="preserve"> </w:t>
      </w:r>
      <w:r w:rsidR="00000000" w:rsidRPr="00000000" w:rsidDel="00000000">
        <w:rPr>
          <w:b w:val="1"/>
          <w:rtl w:val="0"/>
        </w:rPr>
        <w:t xml:space="preserve">+ P</w:t>
      </w:r>
      <w:r w:rsidR="00000000" w:rsidRPr="00000000" w:rsidDel="00000000">
        <w:rPr>
          <w:b w:val="1"/>
          <w:vertAlign w:val="subscript"/>
          <w:rtl w:val="0"/>
        </w:rPr>
        <w:t xml:space="preserve">Low</w:t>
      </w:r>
      <w:r w:rsidR="00000000" w:rsidRPr="00000000" w:rsidDel="00000000">
        <w:rPr>
          <w:b w:val="1"/>
          <w:rtl w:val="0"/>
        </w:rPr>
        <w:t xml:space="preserve">×</w:t>
      </w:r>
      <w:r w:rsidR="00000000" w:rsidRPr="00000000" w:rsidDel="00000000">
        <w:rPr>
          <w:b w:val="1"/>
          <w:i w:val="1"/>
          <w:rtl w:val="0"/>
        </w:rPr>
        <w:t xml:space="preserve">T</w:t>
      </w:r>
      <w:r w:rsidR="00000000" w:rsidRPr="00000000" w:rsidDel="00000000">
        <w:rPr>
          <w:b w:val="1"/>
          <w:i w:val="1"/>
          <w:vertAlign w:val="subscript"/>
          <w:rtl w:val="0"/>
        </w:rPr>
        <w:t xml:space="preserve">Low</w:t>
      </w:r>
      <w:r w:rsidR="00000000" w:rsidRPr="00000000" w:rsidDel="00000000">
        <w:rPr>
          <w:b w:val="1"/>
          <w:i w:val="1"/>
          <w:rtl w:val="0"/>
        </w:rPr>
        <w:t xml:space="preserve"> </w:t>
      </w:r>
      <w:r w:rsidR="00000000" w:rsidRPr="00000000" w:rsidDel="00000000">
        <w:rPr>
          <w:b w:val="1"/>
          <w:rtl w:val="0"/>
        </w:rPr>
        <w:t xml:space="preserve">+ </w:t>
      </w:r>
      <w:r w:rsidR="00000000" w:rsidRPr="00000000" w:rsidDel="00000000">
        <w:rPr>
          <w:b w:val="1"/>
          <w:i w:val="1"/>
          <w:rtl w:val="0"/>
        </w:rPr>
        <w:t xml:space="preserve">N</w:t>
      </w:r>
      <w:r w:rsidR="00000000" w:rsidRPr="00000000" w:rsidDel="00000000">
        <w:rPr>
          <w:b w:val="1"/>
          <w:i w:val="1"/>
          <w:vertAlign w:val="subscript"/>
          <w:rtl w:val="0"/>
        </w:rPr>
        <w:t xml:space="preserve">Scan</w:t>
      </w:r>
      <w:r w:rsidR="00000000" w:rsidRPr="00000000" w:rsidDel="00000000">
        <w:rPr>
          <w:b w:val="1"/>
          <w:rtl w:val="0"/>
        </w:rPr>
        <w:t xml:space="preserve"> ×E</w:t>
      </w:r>
      <w:r w:rsidR="00000000" w:rsidRPr="00000000" w:rsidDel="00000000">
        <w:rPr>
          <w:b w:val="1"/>
          <w:vertAlign w:val="subscript"/>
          <w:rtl w:val="0"/>
        </w:rPr>
        <w:t xml:space="preserve">Scan</w:t>
      </w:r>
      <w:r w:rsidR="00000000" w:rsidRPr="00000000" w:rsidDel="00000000">
        <w:rPr>
          <w:b w:val="1"/>
          <w:rtl w:val="0"/>
        </w:rPr>
        <w:t xml:space="preserve"> + P</w:t>
      </w:r>
      <w:r w:rsidR="00000000" w:rsidRPr="00000000" w:rsidDel="00000000">
        <w:rPr>
          <w:b w:val="1"/>
          <w:vertAlign w:val="subscript"/>
          <w:rtl w:val="0"/>
        </w:rPr>
        <w:t xml:space="preserve">Idle</w:t>
      </w:r>
      <w:r w:rsidR="00000000" w:rsidRPr="00000000" w:rsidDel="00000000">
        <w:rPr>
          <w:b w:val="1"/>
          <w:rtl w:val="0"/>
        </w:rPr>
        <w:t xml:space="preserve"> × </w:t>
      </w:r>
      <w:r w:rsidR="00000000" w:rsidRPr="00000000" w:rsidDel="00000000">
        <w:rPr>
          <w:rtl w:val="0"/>
        </w:rPr>
        <w:t xml:space="preserve">(24</w:t>
      </w:r>
      <w:r w:rsidR="00000000" w:rsidRPr="00000000" w:rsidDel="00000000">
        <w:rPr>
          <w:b w:val="1"/>
          <w:rtl w:val="0"/>
        </w:rPr>
        <w:t xml:space="preserve"> − </w:t>
      </w:r>
      <w:r w:rsidR="00000000" w:rsidRPr="00000000" w:rsidDel="00000000">
        <w:rPr>
          <w:b w:val="1"/>
          <w:i w:val="1"/>
          <w:rtl w:val="0"/>
        </w:rPr>
        <w:t xml:space="preserve">T</w:t>
      </w:r>
      <w:r w:rsidR="00000000" w:rsidRPr="00000000" w:rsidDel="00000000">
        <w:rPr>
          <w:b w:val="1"/>
          <w:i w:val="1"/>
          <w:vertAlign w:val="subscript"/>
          <w:rtl w:val="0"/>
        </w:rPr>
        <w:t xml:space="preserve">Off</w:t>
      </w:r>
      <w:r w:rsidR="00000000" w:rsidRPr="00000000" w:rsidDel="00000000">
        <w:rPr>
          <w:b w:val="1"/>
          <w:rtl w:val="0"/>
        </w:rPr>
        <w:t xml:space="preserve"> −</w:t>
      </w:r>
      <w:r w:rsidR="00000000" w:rsidRPr="00000000" w:rsidDel="00000000">
        <w:rPr>
          <w:b w:val="1"/>
          <w:i w:val="1"/>
          <w:rtl w:val="0"/>
        </w:rPr>
        <w:t xml:space="preserve">T</w:t>
      </w:r>
      <w:r w:rsidR="00000000" w:rsidRPr="00000000" w:rsidDel="00000000">
        <w:rPr>
          <w:b w:val="1"/>
          <w:i w:val="1"/>
          <w:vertAlign w:val="subscript"/>
          <w:rtl w:val="0"/>
        </w:rPr>
        <w:t xml:space="preserve">Low</w:t>
      </w:r>
      <w:r w:rsidR="00000000" w:rsidRPr="00000000" w:rsidDel="00000000">
        <w:rPr>
          <w:b w:val="1"/>
          <w:i w:val="1"/>
          <w:rtl w:val="0"/>
        </w:rPr>
        <w:t xml:space="preserve"> </w:t>
      </w:r>
      <w:r w:rsidR="00000000" w:rsidRPr="00000000" w:rsidDel="00000000">
        <w:rPr>
          <w:b w:val="1"/>
          <w:rtl w:val="0"/>
        </w:rPr>
        <w:t xml:space="preserve">−</w:t>
      </w:r>
      <w:r w:rsidR="00000000" w:rsidRPr="00000000" w:rsidDel="00000000">
        <w:rPr>
          <w:b w:val="1"/>
          <w:i w:val="1"/>
          <w:rtl w:val="0"/>
        </w:rPr>
        <w:t xml:space="preserve">N</w:t>
      </w:r>
      <w:r w:rsidR="00000000" w:rsidRPr="00000000" w:rsidDel="00000000">
        <w:rPr>
          <w:b w:val="1"/>
          <w:i w:val="1"/>
          <w:vertAlign w:val="subscript"/>
          <w:rtl w:val="0"/>
        </w:rPr>
        <w:t xml:space="preserve">Scan</w:t>
      </w:r>
      <w:r w:rsidR="00000000" w:rsidRPr="00000000" w:rsidDel="00000000">
        <w:rPr>
          <w:b w:val="1"/>
          <w:i w:val="1"/>
          <w:rtl w:val="0"/>
        </w:rPr>
        <w:t xml:space="preserve"> </w:t>
      </w:r>
      <w:r w:rsidR="00000000" w:rsidRPr="00000000" w:rsidDel="00000000">
        <w:rPr>
          <w:b w:val="1"/>
          <w:rtl w:val="0"/>
        </w:rPr>
        <w:t xml:space="preserve">×T</w:t>
      </w:r>
      <w:r w:rsidR="00000000" w:rsidRPr="00000000" w:rsidDel="00000000">
        <w:rPr>
          <w:b w:val="1"/>
          <w:vertAlign w:val="subscript"/>
          <w:rtl w:val="0"/>
        </w:rPr>
        <w:t xml:space="preserve">Scan</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Scan</w:t>
      </w:r>
      <w:r w:rsidR="00000000" w:rsidRPr="00000000" w:rsidDel="00000000">
        <w:rPr>
          <w:rtl w:val="0"/>
        </w:rPr>
        <w:t xml:space="preserve"> ir skenēšanas procedūru skaits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niecīgo ietekmi, kāda ir patērētajai enerģijai skenēšanas režīmā 24 stundu laikā, ar COCIR metodoloģiju iegūtie rezultāti apliecināja, ka enerģijas patēriņu skenēšanas režīmā var aptuveni aprēķināt, izmantojot tikai vēderdobuma skenēšanu.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Low, Off </w:t>
      </w:r>
      <w:r w:rsidR="00000000" w:rsidRPr="00000000" w:rsidDel="00000000">
        <w:rPr>
          <w:rtl w:val="0"/>
        </w:rPr>
        <w:t xml:space="preserve">ir laiks stundās dienā katrā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Scan</w:t>
      </w:r>
      <w:r w:rsidR="00000000" w:rsidRPr="00000000" w:rsidDel="00000000">
        <w:rPr>
          <w:rtl w:val="0"/>
        </w:rPr>
        <w:t xml:space="preserve"> ir katras skenēšanas procedūras ilgums (norāda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HEMODIALĪZES IEKĀRTAS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vienā procedūrā, E (kWh)/procedūrā, un turpmāk norādītajiem testa nosacījumiem (jo zemāks enerģijas patēriņš vienā procedūrā,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3.1.Procedūras cikls atbilst turpmāk norādītajam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3.1.1.Tests – ilgums atkarīgs no mehānisma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3.1.2.Uzpildīšana/skalošana – 10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3.1.3.Posms pirms cirkulācijas – 15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3.1.4.Dialīze – 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Karsēšana/ ķīmiskā dezinfekcija – ilgums atkarīgs no mehānisma. </w:t>
      </w:r>
      <w:r w:rsidR="00000000" w:rsidRPr="00000000" w:rsidDel="00000000">
        <w:rPr>
          <w:b w:val="1"/>
          <w:i w:val="1"/>
          <w:rtl w:val="0"/>
        </w:rPr>
        <w:t xml:space="preserve"> Dezinfekcijas veidu norāda pasūtītājs.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patēriņu vienā procedūrā mēra atbilstoši vadlīnijās norādītajiem testa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ja dialīzes iekārta ir aprīkota ar automātisku funkciju, kas samazina dializāta plūsmu laikā no posma pirms cirkulācijas līdz dialīzes veikšanas posmam. Piegādātājs norāda samazināto dializāta plūsmu. Jo lielāks dializāta plūsmas samazinājums,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ja dialīzes iekārta pati izslēdzas, ja tā netiek izmantota 10 minūšu laikā pēc dezinfekcijas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MAGNĒTISKĀS REZONANSES ATTĒLDIAGNOSTIKAS (MRI) IEKĀRTAS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dienā E (kWh)/dienā), sk. turpmāk (jo zemāks enerģijas patēriņš dienā, jo vairāk punktu piešķir). Režīmu definīcijas sniegtas vadlīnijās.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Pasūtītājam jānorāda iekārtas gaidāmie ikdienas lietošanas veidi ("pielāgotais scenārijs"), piegādātājam jānorāda iekārtas enerģijas patēriņš dažādos režīmos. Iepriekš noteiktais lietošanas scenārijs ir ieteikums pasūtītājam. Tomēr pasūtītājs var brīvi pielāgot lietošanas scenāriju īpašajām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Iepriekš noteikts lietošanas scenārijs</w:t>
      </w:r>
      <w:r w:rsidR="00000000" w:rsidRPr="00000000" w:rsidDel="00000000">
        <w:rPr>
          <w:rtl w:val="0"/>
        </w:rPr>
        <w:t xml:space="preserve"> (</w:t>
      </w:r>
      <w:r w:rsidR="00000000" w:rsidRPr="00000000" w:rsidDel="00000000">
        <w:rPr>
          <w:i w:val="1"/>
          <w:rtl w:val="0"/>
        </w:rPr>
        <w:t xml:space="preserve">izmantojams kā atsauce, salīdzinot MRI iekārtas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norāda enerģijas patēriņu dienā E (kWh)/dienā) atbilstoši metodoloģijai un testa nosacījumiem, kas norādīti COCIR SRI magnētiskās rezonanses attēldiagnostikas iekārtai, vai līdzvērtīgiem, skatīt COCIR SRI tīmekļvietni.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Pielāgots lietošanas scenārijs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norāda šādas vērtības atbilstoši metodoloģijai un testa nosacījumiem, kas norādīti COCIR SRI magnētiskās rezonanses attēldiagnostikas iekārtai, sk. COCIR SRI tīmekļvietni https://www.cocir.org/ initiatives/ecodesign-initiative.html, vai līdzvērtīgiem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Off</w:t>
      </w:r>
      <w:r w:rsidR="00000000" w:rsidRPr="00000000" w:rsidDel="00000000">
        <w:rPr>
          <w:rtl w:val="0"/>
        </w:rPr>
        <w:t xml:space="preserve">: patērētā jauda (kW) izslēgtā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Low</w:t>
      </w:r>
      <w:r w:rsidR="00000000" w:rsidRPr="00000000" w:rsidDel="00000000">
        <w:rPr>
          <w:rtl w:val="0"/>
        </w:rPr>
        <w:t xml:space="preserve">: patērētā jauda (kW) mazjaudas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Ready</w:t>
      </w:r>
      <w:r w:rsidR="00000000" w:rsidRPr="00000000" w:rsidDel="00000000">
        <w:rPr>
          <w:rtl w:val="0"/>
        </w:rPr>
        <w:t xml:space="preserve">: patērētā jauda (kW) skenēšanas gatavības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Scan</w:t>
      </w:r>
      <w:r w:rsidR="00000000" w:rsidRPr="00000000" w:rsidDel="00000000">
        <w:rPr>
          <w:rtl w:val="0"/>
        </w:rPr>
        <w:t xml:space="preserve">: enerģijas patēriņš skenēšanas laikā 5 ķermeņa daļām (galva, mugurkauls, vēderdobums, celis, asinsvadi)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Scan</w:t>
      </w:r>
      <w:r w:rsidR="00000000" w:rsidRPr="00000000" w:rsidDel="00000000">
        <w:rPr>
          <w:rtl w:val="0"/>
        </w:rPr>
        <w:t xml:space="preserve">: skenēšanas ilgums (tostarp skenēšanas laika secība un fiksēts skenēšanas gatavības laiks, kas definēts COCIR metodoloģijā)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patēriņu dienā var aprēķināt atbilstoši šādai formulai (vērtības </w:t>
      </w:r>
      <w:r w:rsidR="00000000" w:rsidRPr="00000000" w:rsidDel="00000000">
        <w:rPr>
          <w:i w:val="1"/>
          <w:rtl w:val="0"/>
        </w:rPr>
        <w:t xml:space="preserve"> kursīvā</w:t>
      </w:r>
      <w:r w:rsidR="00000000" w:rsidRPr="00000000" w:rsidDel="00000000">
        <w:rPr>
          <w:rtl w:val="0"/>
        </w:rPr>
        <w:t xml:space="preserve"> nosaka pasūtītājs, </w:t>
      </w:r>
      <w:r w:rsidR="00000000" w:rsidRPr="00000000" w:rsidDel="00000000">
        <w:rPr>
          <w:b w:val="1"/>
          <w:rtl w:val="0"/>
        </w:rPr>
        <w:t xml:space="preserve">treknrakstā</w:t>
      </w:r>
      <w:r w:rsidR="00000000" w:rsidRPr="00000000" w:rsidDel="00000000">
        <w:rPr>
          <w:rtl w:val="0"/>
        </w:rPr>
        <w:t xml:space="preserve"> — deklarē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E=kWh/dienā = P</w:t>
      </w:r>
      <w:r w:rsidR="00000000" w:rsidRPr="00000000" w:rsidDel="00000000">
        <w:rPr>
          <w:b w:val="1"/>
          <w:vertAlign w:val="subscript"/>
          <w:rtl w:val="0"/>
        </w:rPr>
        <w:t xml:space="preserve">Off</w:t>
      </w:r>
      <w:r w:rsidR="00000000" w:rsidRPr="00000000" w:rsidDel="00000000">
        <w:rPr>
          <w:b w:val="1"/>
          <w:rtl w:val="0"/>
        </w:rPr>
        <w:t xml:space="preserve"> ×</w:t>
      </w:r>
      <w:r w:rsidR="00000000" w:rsidRPr="00000000" w:rsidDel="00000000">
        <w:rPr>
          <w:b w:val="1"/>
          <w:i w:val="1"/>
          <w:rtl w:val="0"/>
        </w:rPr>
        <w:t xml:space="preserve">T</w:t>
      </w:r>
      <w:r w:rsidR="00000000" w:rsidRPr="00000000" w:rsidDel="00000000">
        <w:rPr>
          <w:b w:val="1"/>
          <w:i w:val="1"/>
          <w:vertAlign w:val="subscript"/>
          <w:rtl w:val="0"/>
        </w:rPr>
        <w:t xml:space="preserve">Off</w:t>
      </w:r>
      <w:r w:rsidR="00000000" w:rsidRPr="00000000" w:rsidDel="00000000">
        <w:rPr>
          <w:b w:val="1"/>
          <w:i w:val="1"/>
          <w:rtl w:val="0"/>
        </w:rPr>
        <w:t xml:space="preserve"> </w:t>
      </w:r>
      <w:r w:rsidR="00000000" w:rsidRPr="00000000" w:rsidDel="00000000">
        <w:rPr>
          <w:b w:val="1"/>
          <w:rtl w:val="0"/>
        </w:rPr>
        <w:t xml:space="preserve">+ P</w:t>
      </w:r>
      <w:r w:rsidR="00000000" w:rsidRPr="00000000" w:rsidDel="00000000">
        <w:rPr>
          <w:b w:val="1"/>
          <w:vertAlign w:val="subscript"/>
          <w:rtl w:val="0"/>
        </w:rPr>
        <w:t xml:space="preserve">Low</w:t>
      </w:r>
      <w:r w:rsidR="00000000" w:rsidRPr="00000000" w:rsidDel="00000000">
        <w:rPr>
          <w:b w:val="1"/>
          <w:rtl w:val="0"/>
        </w:rPr>
        <w:t xml:space="preserve">×</w:t>
      </w:r>
      <w:r w:rsidR="00000000" w:rsidRPr="00000000" w:rsidDel="00000000">
        <w:rPr>
          <w:b w:val="1"/>
          <w:i w:val="1"/>
          <w:rtl w:val="0"/>
        </w:rPr>
        <w:t xml:space="preserve">T</w:t>
      </w:r>
      <w:r w:rsidR="00000000" w:rsidRPr="00000000" w:rsidDel="00000000">
        <w:rPr>
          <w:b w:val="1"/>
          <w:i w:val="1"/>
          <w:vertAlign w:val="subscript"/>
          <w:rtl w:val="0"/>
        </w:rPr>
        <w:t xml:space="preserve">Low</w:t>
      </w:r>
      <w:r w:rsidR="00000000" w:rsidRPr="00000000" w:rsidDel="00000000">
        <w:rPr>
          <w:b w:val="1"/>
          <w:i w:val="1"/>
          <w:rtl w:val="0"/>
        </w:rPr>
        <w:t xml:space="preserve"> </w:t>
      </w:r>
      <w:r w:rsidR="00000000" w:rsidRPr="00000000" w:rsidDel="00000000">
        <w:rPr>
          <w:b w:val="1"/>
          <w:rtl w:val="0"/>
        </w:rPr>
        <w:t xml:space="preserve">+ </w:t>
      </w:r>
      <w:r w:rsidR="00000000" w:rsidRPr="00000000" w:rsidDel="00000000">
        <w:rPr>
          <w:b w:val="1"/>
          <w:i w:val="1"/>
          <w:rtl w:val="0"/>
        </w:rPr>
        <w:t xml:space="preserve">N</w:t>
      </w:r>
      <w:r w:rsidR="00000000" w:rsidRPr="00000000" w:rsidDel="00000000">
        <w:rPr>
          <w:b w:val="1"/>
          <w:i w:val="1"/>
          <w:vertAlign w:val="subscript"/>
          <w:rtl w:val="0"/>
        </w:rPr>
        <w:t xml:space="preserve">Scan</w:t>
      </w:r>
      <w:r w:rsidR="00000000" w:rsidRPr="00000000" w:rsidDel="00000000">
        <w:rPr>
          <w:b w:val="1"/>
          <w:rtl w:val="0"/>
        </w:rPr>
        <w:t xml:space="preserve"> ×E</w:t>
      </w:r>
      <w:r w:rsidR="00000000" w:rsidRPr="00000000" w:rsidDel="00000000">
        <w:rPr>
          <w:b w:val="1"/>
          <w:vertAlign w:val="subscript"/>
          <w:rtl w:val="0"/>
        </w:rPr>
        <w:t xml:space="preserve">Scan</w:t>
      </w:r>
      <w:r w:rsidR="00000000" w:rsidRPr="00000000" w:rsidDel="00000000">
        <w:rPr>
          <w:b w:val="1"/>
          <w:rtl w:val="0"/>
        </w:rPr>
        <w:t xml:space="preserve"> + P</w:t>
      </w:r>
      <w:r w:rsidR="00000000" w:rsidRPr="00000000" w:rsidDel="00000000">
        <w:rPr>
          <w:b w:val="1"/>
          <w:vertAlign w:val="subscript"/>
          <w:rtl w:val="0"/>
        </w:rPr>
        <w:t xml:space="preserve">Ready</w:t>
      </w:r>
      <w:r w:rsidR="00000000" w:rsidRPr="00000000" w:rsidDel="00000000">
        <w:rPr>
          <w:b w:val="1"/>
          <w:rtl w:val="0"/>
        </w:rPr>
        <w:t xml:space="preserve"> × </w:t>
      </w:r>
      <w:r w:rsidR="00000000" w:rsidRPr="00000000" w:rsidDel="00000000">
        <w:rPr>
          <w:rtl w:val="0"/>
        </w:rPr>
        <w:t xml:space="preserve">(24</w:t>
      </w:r>
      <w:r w:rsidR="00000000" w:rsidRPr="00000000" w:rsidDel="00000000">
        <w:rPr>
          <w:b w:val="1"/>
          <w:rtl w:val="0"/>
        </w:rPr>
        <w:t xml:space="preserve"> − </w:t>
      </w:r>
      <w:r w:rsidR="00000000" w:rsidRPr="00000000" w:rsidDel="00000000">
        <w:rPr>
          <w:b w:val="1"/>
          <w:i w:val="1"/>
          <w:rtl w:val="0"/>
        </w:rPr>
        <w:t xml:space="preserve">T</w:t>
      </w:r>
      <w:r w:rsidR="00000000" w:rsidRPr="00000000" w:rsidDel="00000000">
        <w:rPr>
          <w:b w:val="1"/>
          <w:i w:val="1"/>
          <w:vertAlign w:val="subscript"/>
          <w:rtl w:val="0"/>
        </w:rPr>
        <w:t xml:space="preserve">Off</w:t>
      </w:r>
      <w:r w:rsidR="00000000" w:rsidRPr="00000000" w:rsidDel="00000000">
        <w:rPr>
          <w:b w:val="1"/>
          <w:rtl w:val="0"/>
        </w:rPr>
        <w:t xml:space="preserve"> −</w:t>
      </w:r>
      <w:r w:rsidR="00000000" w:rsidRPr="00000000" w:rsidDel="00000000">
        <w:rPr>
          <w:b w:val="1"/>
          <w:i w:val="1"/>
          <w:rtl w:val="0"/>
        </w:rPr>
        <w:t xml:space="preserve">T</w:t>
      </w:r>
      <w:r w:rsidR="00000000" w:rsidRPr="00000000" w:rsidDel="00000000">
        <w:rPr>
          <w:b w:val="1"/>
          <w:i w:val="1"/>
          <w:vertAlign w:val="subscript"/>
          <w:rtl w:val="0"/>
        </w:rPr>
        <w:t xml:space="preserve">Low</w:t>
      </w:r>
      <w:r w:rsidR="00000000" w:rsidRPr="00000000" w:rsidDel="00000000">
        <w:rPr>
          <w:b w:val="1"/>
          <w:i w:val="1"/>
          <w:rtl w:val="0"/>
        </w:rPr>
        <w:t xml:space="preserve"> </w:t>
      </w:r>
      <w:r w:rsidR="00000000" w:rsidRPr="00000000" w:rsidDel="00000000">
        <w:rPr>
          <w:b w:val="1"/>
          <w:rtl w:val="0"/>
        </w:rPr>
        <w:t xml:space="preserve">−</w:t>
      </w:r>
      <w:r w:rsidR="00000000" w:rsidRPr="00000000" w:rsidDel="00000000">
        <w:rPr>
          <w:b w:val="1"/>
          <w:i w:val="1"/>
          <w:rtl w:val="0"/>
        </w:rPr>
        <w:t xml:space="preserve">N</w:t>
      </w:r>
      <w:r w:rsidR="00000000" w:rsidRPr="00000000" w:rsidDel="00000000">
        <w:rPr>
          <w:b w:val="1"/>
          <w:i w:val="1"/>
          <w:vertAlign w:val="subscript"/>
          <w:rtl w:val="0"/>
        </w:rPr>
        <w:t xml:space="preserve">Scan</w:t>
      </w:r>
      <w:r w:rsidR="00000000" w:rsidRPr="00000000" w:rsidDel="00000000">
        <w:rPr>
          <w:b w:val="1"/>
          <w:i w:val="1"/>
          <w:rtl w:val="0"/>
        </w:rPr>
        <w:t xml:space="preserve"> </w:t>
      </w:r>
      <w:r w:rsidR="00000000" w:rsidRPr="00000000" w:rsidDel="00000000">
        <w:rPr>
          <w:b w:val="1"/>
          <w:rtl w:val="0"/>
        </w:rPr>
        <w:t xml:space="preserve">×T</w:t>
      </w:r>
      <w:r w:rsidR="00000000" w:rsidRPr="00000000" w:rsidDel="00000000">
        <w:rPr>
          <w:b w:val="1"/>
          <w:vertAlign w:val="subscript"/>
          <w:rtl w:val="0"/>
        </w:rPr>
        <w:t xml:space="preserve">Scan</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Scan</w:t>
      </w:r>
      <w:r w:rsidR="00000000" w:rsidRPr="00000000" w:rsidDel="00000000">
        <w:rPr>
          <w:rtl w:val="0"/>
        </w:rPr>
        <w:t xml:space="preserve"> ir skenēšanas darbību skaits katrai ķermeņa daļai: </w:t>
      </w:r>
      <w:r w:rsidR="00000000" w:rsidRPr="00000000" w:rsidDel="00000000">
        <w:rPr>
          <w:b w:val="1"/>
          <w:i w:val="1"/>
          <w:rtl w:val="0"/>
        </w:rPr>
        <w:t xml:space="preserve">N</w:t>
      </w:r>
      <w:r w:rsidR="00000000" w:rsidRPr="00000000" w:rsidDel="00000000">
        <w:rPr>
          <w:b w:val="1"/>
          <w:i w:val="1"/>
          <w:vertAlign w:val="subscript"/>
          <w:rtl w:val="0"/>
        </w:rPr>
        <w:t xml:space="preserve">Scan</w:t>
      </w:r>
      <w:r w:rsidR="00000000" w:rsidRPr="00000000" w:rsidDel="00000000">
        <w:rPr>
          <w:b w:val="1"/>
          <w:rtl w:val="0"/>
        </w:rPr>
        <w:t xml:space="preserve"> × T</w:t>
      </w:r>
      <w:r w:rsidR="00000000" w:rsidRPr="00000000" w:rsidDel="00000000">
        <w:rPr>
          <w:b w:val="1"/>
          <w:vertAlign w:val="subscript"/>
          <w:rtl w:val="0"/>
        </w:rPr>
        <w:t xml:space="preserve">Scan </w:t>
      </w:r>
      <w:r w:rsidR="00000000" w:rsidRPr="00000000" w:rsidDel="00000000">
        <w:rPr>
          <w:b w:val="1"/>
          <w:rtl w:val="0"/>
        </w:rPr>
        <w:t xml:space="preserve">= </w:t>
      </w:r>
      <w:r w:rsidR="00000000" w:rsidRPr="00000000" w:rsidDel="00000000">
        <w:rPr>
          <w:b w:val="1"/>
          <w:i w:val="1"/>
          <w:rtl w:val="0"/>
        </w:rPr>
        <w:t xml:space="preserve">N</w:t>
      </w:r>
      <w:r w:rsidR="00000000" w:rsidRPr="00000000" w:rsidDel="00000000">
        <w:rPr>
          <w:b w:val="1"/>
          <w:i w:val="1"/>
          <w:vertAlign w:val="subscript"/>
          <w:rtl w:val="0"/>
        </w:rPr>
        <w:t xml:space="preserve">Head</w:t>
      </w:r>
      <w:r w:rsidR="00000000" w:rsidRPr="00000000" w:rsidDel="00000000">
        <w:rPr>
          <w:b w:val="1"/>
          <w:rtl w:val="0"/>
        </w:rPr>
        <w:t xml:space="preserve"> × T</w:t>
      </w:r>
      <w:r w:rsidR="00000000" w:rsidRPr="00000000" w:rsidDel="00000000">
        <w:rPr>
          <w:b w:val="1"/>
          <w:vertAlign w:val="subscript"/>
          <w:rtl w:val="0"/>
        </w:rPr>
        <w:t xml:space="preserve">Head</w:t>
      </w:r>
      <w:r w:rsidR="00000000" w:rsidRPr="00000000" w:rsidDel="00000000">
        <w:rPr>
          <w:b w:val="1"/>
          <w:rtl w:val="0"/>
        </w:rPr>
        <w:t xml:space="preserve"> + </w:t>
      </w:r>
      <w:r w:rsidR="00000000" w:rsidRPr="00000000" w:rsidDel="00000000">
        <w:rPr>
          <w:b w:val="1"/>
          <w:i w:val="1"/>
          <w:rtl w:val="0"/>
        </w:rPr>
        <w:t xml:space="preserve">N</w:t>
      </w:r>
      <w:r w:rsidR="00000000" w:rsidRPr="00000000" w:rsidDel="00000000">
        <w:rPr>
          <w:b w:val="1"/>
          <w:i w:val="1"/>
          <w:vertAlign w:val="subscript"/>
          <w:rtl w:val="0"/>
        </w:rPr>
        <w:t xml:space="preserve">Abdomen</w:t>
      </w:r>
      <w:r w:rsidR="00000000" w:rsidRPr="00000000" w:rsidDel="00000000">
        <w:rPr>
          <w:b w:val="1"/>
          <w:rtl w:val="0"/>
        </w:rPr>
        <w:t xml:space="preserve"> × T</w:t>
      </w:r>
      <w:r w:rsidR="00000000" w:rsidRPr="00000000" w:rsidDel="00000000">
        <w:rPr>
          <w:b w:val="1"/>
          <w:vertAlign w:val="subscript"/>
          <w:rtl w:val="0"/>
        </w:rPr>
        <w:t xml:space="preserve">abdomen</w:t>
      </w:r>
      <w:r w:rsidR="00000000" w:rsidRPr="00000000" w:rsidDel="00000000">
        <w:rPr>
          <w:b w:val="1"/>
          <w:rtl w:val="0"/>
        </w:rPr>
        <w:t xml:space="preserve"> + </w:t>
      </w:r>
      <w:r w:rsidR="00000000" w:rsidRPr="00000000" w:rsidDel="00000000">
        <w:rPr>
          <w:b w:val="1"/>
          <w:i w:val="1"/>
          <w:rtl w:val="0"/>
        </w:rPr>
        <w:t xml:space="preserve">N</w:t>
      </w:r>
      <w:r w:rsidR="00000000" w:rsidRPr="00000000" w:rsidDel="00000000">
        <w:rPr>
          <w:b w:val="1"/>
          <w:i w:val="1"/>
          <w:vertAlign w:val="subscript"/>
          <w:rtl w:val="0"/>
        </w:rPr>
        <w:t xml:space="preserve">Spine</w:t>
      </w:r>
      <w:r w:rsidR="00000000" w:rsidRPr="00000000" w:rsidDel="00000000">
        <w:rPr>
          <w:b w:val="1"/>
          <w:rtl w:val="0"/>
        </w:rPr>
        <w:t xml:space="preserve"> × T</w:t>
      </w:r>
      <w:r w:rsidR="00000000" w:rsidRPr="00000000" w:rsidDel="00000000">
        <w:rPr>
          <w:b w:val="1"/>
          <w:vertAlign w:val="subscript"/>
          <w:rtl w:val="0"/>
        </w:rPr>
        <w:t xml:space="preserve">Spine</w:t>
      </w:r>
      <w:r w:rsidR="00000000" w:rsidRPr="00000000" w:rsidDel="00000000">
        <w:rPr>
          <w:b w:val="1"/>
          <w:rtl w:val="0"/>
        </w:rPr>
        <w:t xml:space="preserve"> + </w:t>
      </w:r>
      <w:r w:rsidR="00000000" w:rsidRPr="00000000" w:rsidDel="00000000">
        <w:rPr>
          <w:b w:val="1"/>
          <w:i w:val="1"/>
          <w:rtl w:val="0"/>
        </w:rPr>
        <w:t xml:space="preserve">N</w:t>
      </w:r>
      <w:r w:rsidR="00000000" w:rsidRPr="00000000" w:rsidDel="00000000">
        <w:rPr>
          <w:b w:val="1"/>
          <w:i w:val="1"/>
          <w:vertAlign w:val="subscript"/>
          <w:rtl w:val="0"/>
        </w:rPr>
        <w:t xml:space="preserve">Knee</w:t>
      </w:r>
      <w:r w:rsidR="00000000" w:rsidRPr="00000000" w:rsidDel="00000000">
        <w:rPr>
          <w:b w:val="1"/>
          <w:rtl w:val="0"/>
        </w:rPr>
        <w:t xml:space="preserve"> × T</w:t>
      </w:r>
      <w:r w:rsidR="00000000" w:rsidRPr="00000000" w:rsidDel="00000000">
        <w:rPr>
          <w:b w:val="1"/>
          <w:vertAlign w:val="subscript"/>
          <w:rtl w:val="0"/>
        </w:rPr>
        <w:t xml:space="preserve">Knee</w:t>
      </w:r>
      <w:r w:rsidR="00000000" w:rsidRPr="00000000" w:rsidDel="00000000">
        <w:rPr>
          <w:b w:val="1"/>
          <w:rtl w:val="0"/>
        </w:rPr>
        <w:t xml:space="preserve"> + </w:t>
      </w:r>
      <w:r w:rsidR="00000000" w:rsidRPr="00000000" w:rsidDel="00000000">
        <w:rPr>
          <w:b w:val="1"/>
          <w:i w:val="1"/>
          <w:rtl w:val="0"/>
        </w:rPr>
        <w:t xml:space="preserve">N</w:t>
      </w:r>
      <w:r w:rsidR="00000000" w:rsidRPr="00000000" w:rsidDel="00000000">
        <w:rPr>
          <w:b w:val="1"/>
          <w:i w:val="1"/>
          <w:vertAlign w:val="subscript"/>
          <w:rtl w:val="0"/>
        </w:rPr>
        <w:t xml:space="preserve">Angio</w:t>
      </w:r>
      <w:r w:rsidR="00000000" w:rsidRPr="00000000" w:rsidDel="00000000">
        <w:rPr>
          <w:b w:val="1"/>
          <w:rtl w:val="0"/>
        </w:rPr>
        <w:t xml:space="preserve"> × T</w:t>
      </w:r>
      <w:r w:rsidR="00000000" w:rsidRPr="00000000" w:rsidDel="00000000">
        <w:rPr>
          <w:b w:val="1"/>
          <w:vertAlign w:val="subscript"/>
          <w:rtl w:val="0"/>
        </w:rPr>
        <w:t xml:space="preserve">Angio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Low, Off</w:t>
      </w:r>
      <w:r w:rsidR="00000000" w:rsidRPr="00000000" w:rsidDel="00000000">
        <w:rPr>
          <w:rtl w:val="0"/>
        </w:rPr>
        <w:t xml:space="preserve"> ir laiks stundās dienā katrā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Scan </w:t>
      </w:r>
      <w:r w:rsidR="00000000" w:rsidRPr="00000000" w:rsidDel="00000000">
        <w:rPr>
          <w:rtl w:val="0"/>
        </w:rPr>
        <w:t xml:space="preserve">ir katras skenēšanas procedūras ilgums (norāda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MEDICĪNISKO AUTOKLĀVU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Iepriekš noteikts lietošanas scenārijs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autoklāva jauda, gan slodze ietekmē energoefektivitāti atkarībā no pieejamās jaudas izmantošanas. Jo vairāk priekšmetu ir autoklāvā vienā ciklā, jo mazāks ir enerģijas patēriņš uz vienu priekšmetu. Autoklāvu enerģijas patēriņu var novērtēt vai nu, pamatojoties uz kameras izmantojamo tilpumu litros, vai uz maksimālo slogotspēju kilogramos. Piegādātājs norāda abu kritēriju rādītājus, lai sniegtu pasūtītājam vispārēju priekšstatu par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5.1.Papildu punktus piešķir saskaņā ar enerģijas patēriņu vienā ciklā, t.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5.1.1.cik zems ir norādītais enerģijas patēriņš uz vienu litru, EV (Wh/l), saskaņā ar vadlīnijās norādītajiem testa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5.1.2.cik zems ir norādītais enerģijas patēriņš uz vienu noslodzi, EW (Wh/kg), saskaņā ar vadlīnijās norādītajiem testa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 zemāks enerģijas patēriņš vienā ciklā,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5.2.Piegādātājs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EV tukšai kamerai;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EW maksimālajai noslodzei, kā norādīts vadlīnijās;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kameras izmantojamo tilpumu (litros);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 piemēroto ražojuma piemērojamos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Pielāgots lietošanas scenārijs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dienā E (kWh)/dienā), sk. turpmāk norādīto tabulu (jo zemāks enerģijas patēriņš dienā, jo vairāk punktu piešķir). Lūdzu, aizpildiet šo tabulu. Režīmu definīcijas un verifikācijas apraksts sniegts vadlīnijās.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9"/>
        <w:gridCol w:w="2431"/>
        <w:gridCol w:w="2335"/>
        <w:gridCol w:w="2239"/>
        <w:tblGridChange w:id="0">
          <w:tblGrid>
            <w:gridCol w:w="2239"/>
            <w:gridCol w:w="2431"/>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Pielāgots lietošanas scenārijsNorāda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Enerģija lietošanas posmāNorāda piegādātājs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Medicīniskais autoklāvs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w:t>
            </w:r>
            <w:r w:rsidR="00000000" w:rsidRPr="00000000" w:rsidDel="00000000">
              <w:rPr>
                <w:rtl w:val="0"/>
              </w:rPr>
              <w:t xml:space="preserve"> = norādītais ciklu skaits dienā (precizēt: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noslodze ciklā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materiāla veids (metāls vai tekstils),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cikla veids (sterilizēšanas t</w:t>
            </w:r>
            <w:r w:rsidR="00000000" w:rsidRPr="00000000" w:rsidDel="00000000">
              <w:rPr>
                <w:vertAlign w:val="superscript"/>
                <w:rtl w:val="0"/>
              </w:rPr>
              <w:t xml:space="preserve">0</w:t>
            </w:r>
            <w:r w:rsidR="00000000" w:rsidRPr="00000000" w:rsidDel="00000000">
              <w:rPr>
                <w:rtl w:val="0"/>
              </w:rPr>
              <w:t xml:space="preserve"> ), izmantots žāvēšanas cikls (jā/nē))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E1</w:t>
            </w:r>
            <w:r w:rsidR="00000000" w:rsidRPr="00000000" w:rsidDel="00000000">
              <w:rPr>
                <w:rtl w:val="0"/>
              </w:rPr>
              <w:t xml:space="preserve"> = enerģijas patēriņš (kWh) vienā ciklā, pamatojoties uz pasūtītāja norādīto noteikto ciklu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T2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P2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T3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P3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Režīmu definīcijas vadlīnijās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 = laiks, stundu skaits aktuālajā režīmā dienā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 = jauda (kW), jaudas un enerģijas patēriņa mērījumi atbilstoši vadlīnijās norādītajiem testa nosacījumiem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SKALOŠANAS–DEZINFEKCIJAS UN MAZGĀŠANAS–DEZINFEKCIJAS IEKĀRTAS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enerģijas patēriņam vienā ciklā E (kWh)/ciklā, sk. turpmāk (jo zemāks enerģijas patēriņš ciklā,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6.1.Pasūtītājs norāda iepērkamās dezinfekcijas iekārtas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6.1.1.elastīgo endoskopu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visu pārējo instrumentu (vispārējo ķirurģisko instrumentu, MIS, anestēzijas, ortopēdijas u.c.)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6.1.3.dezinfekcijas iekārta tādiem lielgabarīta priekšmetiem kā sterilas tvertnes, ratiņi, operāciju zāles apavi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6.1.4.cilvēka organisma izdalījumu tvertņu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viņam jānorāda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6.2.1.konkrētā nepieciešamā slodze (slodzes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6.2.2.žāvēšanas cikla izmantošana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6.2.3.karstais ūdens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6.2.4.apstrādāts ūdens beigu skalošanā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6.2.5.apsildes metodes (tvaiks vai elektrība),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6.2.6.spriegums.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6.3.Mērījumus veic ražotājs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6.3.1.Ķirurģisko un analīzes instrumentu dezinfekcijas iekārta: A0 3000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6.3.2.Instrumentu un lielgabarīta priekšmetu dezinfekcijas iekārta: A0 600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6.3.3.Cilvēka organisma izdalījumu tvertņu dezinfekcijas iekārta: A0 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6.3.4.Aukstais ūdens, maksimālā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Karstais ūdens, maksimālā temperatūra 60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Apstrādāts ūdens, maksimālā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Tvaiks, maksimāli 500 kPa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testa nosacījumi energoefektivitātes mērījumiem ir pieejami vadlīnijās.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norāda, kādi ir akceptēšanas kritēriji tīrīšanas, dezinfekcijas un žāvēšanas raksturlielumiem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norāda energoefektivitāti vienā ciklā, pamatojoties uz iepriekšminētajiem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AUTOMĀTISKS MAZJAUDAS REŽĪMS MEDICĪNISKAJIEM AUTOKLĀVIEM, DEZINFEKCIJAS, DT, EKG DIAGNOSTIKAS, MRI UN ULTRASKAŅAS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iekārtu var konfigurēt automātiskai pārejai uz gaidstāves vai izslēgtu režīmu pēc konkrēta bezdarbības laikposma vai pēc iepriekš noteikta grafika saskaņā ar turpmāk norādīto paraugu. Par DT un MRI iekārtām punktus piešķir, ja skeneris ir aprīkots ar mazjaudas režīmu, kuru var aktivizēt iekārtas operators.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 režīma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Uz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Medicīniskie autoklāvi un dezinfekcijas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Gaidstāves režīms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Mazjaudas režīms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EKG diagnostikas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vai gaidstāves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Izslēgts režīms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MRI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Skenēšanas gatavības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Mazjaudas režīms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Skenēšanas gatavības režīms (ultraskaņas iekārta ir ieslēgta un gatava radīt attēlu. Ieslēgti ir visi moduļi, izņemot tos, kas nepieciešami skenēšanai (pārveidotājs nav aktivizēts.))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Gaidstāves režīms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arī tad, ja iekārtai ir īsa un automatizēta palaide uz pilnu funkcionalitāti, pēc tam, kad aktivizēta tās automātiskā funkcija saskaņā ar iepriekšminēto. Jānorāda laiks sekundēs un aktīvās darbības, kas jāveic personālam. Jo īsāks laiks un jo mazāk darbību nepieciešams,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Režīmu definīcijas atbilst vadlīnijās sniegtajām.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IEKĀRTA AR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ierīce ir aprīkota vai var tikt aprīkota ar mērierīci, lai varētu novērot un reģistrēt aktuālā patēriņa datus (elektrībai, ūdenim (attiecīgā gadījumā) un gāzei (attiecas uz anestēzijas un intensīvās aprūpes iekārtām). Lietotājam būtu arī jāspēj iegūt vēsturiskā patēriņa statistikas datus atskaites formā. Piegādātājs norāda patēriņa mērierīces nosacījumus, kā arī to, vai tiks piemērotas papildu izmaksas. Piegādātājs arī norāda ierobežojumus saistībā ar to, ko vai kā personāls var izmērīt ar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ja iegūtos datus var automātiski nosūtīt uz datu apkopošanas centrālo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14.3. ZPI kritēriji ūdens izmantošanas efektivitātei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ŪDENS PATĒRIŅŠ HEMODIALĪZES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ūdens patēriņam vienā procedūrā (jo zemāks ūdens patēriņš, jo vairāk punktu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Procedūras cikls atbilst turpmāk norādītajam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1.1.Tests – ilgums atkarīgs no mehānisma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1.2.Uzpildīšana/skalošana – 10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1.3.Posms pirms cirkulācijas – 15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1.4.Dialīze – 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1.5.Karsēšana/ ķīmiskā dezinfekcija – ilgums atkarīgs no mehānisma. Dezinfekcijas veidu norāda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iekārtām ar zema ūdens patēriņa funkciju (vismaz 50 procenti ūdens patēriņa samazinājums posmā pirms cirkulācijas).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iekārtām ar funkciju bez ūdens patēriņa gaidstāves režīmā (100 procenti samazinājums taupības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Pasūtītājam iepirkuma procedūras dokumentos jānorāda, cik daudz punktu piešķirs par katru piešķiršanas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SKALOŠANAS UN MAZGĀŠANAS–DEZINFEKCIJAS IEKĀRTAS ŪDENS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2.1.Pasūtītājs norāda iepērkamās dezinfekcijas iekārtas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2.1.1.elastīgo endoskopu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2.1.2.visu pārējo instrumentu (vispārējo ķirurģisko instrumentu, MIS, anestēzijas, ortopēdijas u. c.)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2.1.3.dezinfekcijas iekārta tādiem lielgabarīta priekšmetiem kā sterilas tvertnes, ratiņi, operāciju zāles apavi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2.1.4.cilvēka organisma izdalījumu tvertņu dezinfekcijas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2.2.viņam jānorāda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2.2.1.īpašā nepieciešamā slodze (slodzes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2.2.2.žāvēšanas cikla izmantošana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2.2.3.karstais ūdens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2.2.4.apstrādāts ūdens beigu skalošanā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2.2.5.apsildes metodes (tvaiks vai elektrība),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2.2.6.spriegums.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2.3.Mērījumus veic ražotājs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2.3.1.Ķirurģisko un analīzes instrumentu dezinfekcijas iekārta: A0 3000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2.3.2.Instrumentu un lielgabarīta priekšmetu dezinfekcijas iekārta: A0 600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2.3.3.Cilvēka organisma izdalījumu tvertņu dezinfekcijas iekārta: A0 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2.3.4.Aukstais ūdens, maksimālā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2.3.5.Karstais ūdens, maksimālā temperatūra 60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2.3.6.Apstrādāts ūdens, maksimālā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2.3.7.Tvaiks, maksimāli 500 kPa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norāda, kādi ir akceptēšanas kritēriji tīrīšanas, dezinfekcijas un žāvēšanas raksturlielumiem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norāda ūdens patēriņu vienā ciklā, pamatojoties uz iepriekšminētajiem kritērijiem.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 Atpūtas un sporta infrastruktūra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aptver atpūtas un sporta infrastruktūras elementus.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15.1. ZPI prasības un kritēriji atpūtas un sporta infrastruktūrai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dokumentu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un sporta infrastruktūras iepirkums, kas ražoti, izmantojot videi draudzīgus materiālus un procesus.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Norādījumi projektēšanā un izmantoto materiālu vides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KOKSNE UN KOKSNES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Visai koksnei un koksnes materiāliem ir jānāk no likumīgas izcelsmes koksnes.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OTRREIZ PĀRSTRĀDĀTO MATERIĀLU SATURS (GUMIJA, PLASTMASA, METĀLS,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izbūvē un tās objektu izbūvē ir jāizmanto gan pimreizēji, gan pārstrādāti materiāli, piemēram, pārstrādāta koksne, plastmasa, metāls, gumiju un/vai nolietotas riepas.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VIRSMAS APSTRĀDE UN PĀRKLĀJUMS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Virsmas apstrāde/pārklājumi ir atļauta tikai funkcionālu iemeslu dēļ. Piemēram, lai nodrošinātu koksnes izturību vai novērstu oksidāciju sakausējuma elementos.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Izmantotie virsmas pārklājumi: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nepieciešams izmantot ķīmisko vielu klasifikāciju atbilstoši CLP regulai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nedrīkst saturēt vairāk kā 5 masas procentus gaistošu organisko savienojumu (GOS);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ftalātiem: nav atļauta tādu ftalātu lietošana, kas piedāvājuma iesniegšanas laikā atbilst kādai šādu riska frāžu (vai to kombinācijas) klasifikācijai: R60, R61, R62 (atbilstoši Eiropas Parlamenta un Padomes 2008. gada 16. decembra Regulai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nedrīkst saturēt aziridīnu;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nedrīkst saturēt hroma (VI) savienojumus.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EKODIZAINS: DEMONTĀŽA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Infrastruktūru nepieciešams projektēt tā, lai to dzīves laikā varētu izjaukt un noderīga, lai tā daļas un komponentus varētu viegli atdalīt un nosūtīt reģenerācijai, piemēram, sagatavošana atkārtotai izmantošanai vai pārstrādei.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IZEJMATERIĀLI / ILGTSPĒJĪGA MEŽU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tādu no koksnes, koksnes šķiedras vai koksnes skaidām izgatavotu gala produktu īpatsvaru, kuru izcelsme ir meži, kuru pārvaldīšana, īstenojot ilgtspējīgas mežu apsaimniekošanas principus un pasākumus, ir pierādīta – ar nosacījumu, ka šie kritēriji raksturo produktu un ir attiecināmi uz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OTRREIZ PĀRSTRĀDĀTO MATERIĀLU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par noteiktu pārstrādāto koksnes, plastmasas, metāla, un/vai nolietoto riepu materiālu masas procentuālo attiecību galaproduktā, ja pārstrādātā materiāla apjoms ir vismaz 50% no kopējā svara.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APRITES EKONOMIKAS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jāiesniedz plāns, kas ietver sekojošas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konkrēts redzējums turpmākai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attīstība saskaņā aprites ekonomikas principiem līguma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organizēšana un sadale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pretendentam / piegādātājam paredzētās lomas un atbildība;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konkrēts produkta redzējums par izejvielu izmantošanu, papildus punkti tiek piešķirti, ja daļa no otrreizējiem pārstrādes produktiem tiek iepirkta, piemēram, ne tālāk kā 250 km attālumā no ražotnes/piegādes vietas."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 </w:t>
      </w:r>
      <w:r w:rsidR="00000000" w:rsidRPr="00000000" w:rsidDel="00000000">
        <w:rPr>
          <w:rtl w:val="0"/>
        </w:rPr>
        <w:t xml:space="preserve">KOMISIJAS LĒMUMS (ES) 2017/1217 (2017. gada 23. jūnijs), ar ko nosaka ES ekomarķējuma kritērijus cietā seguma tīrīšanas līdzekļiem https://eur-lex.europa.eu/legal-content/LV/TXT/PDF/?uri=CELEX:32017D1217&amp;from=LV.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KOMISIJAS LĒMUMS (ES) 2017/1217 (2017. gada 23. jūnijs), ar ko nosaka ES ekomarķējuma kritērijus cietā seguma tīrīšanas līdzekļiem https://eur-lex.europa.eu/legal-content/LV/TXT/PDF/?uri=CELEX:32017D1217&amp;from=LV.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KOMISIJAS LĒMUMS (ES) 2017/1217 (2017. gada 23. jūnijs), ar ko nosaka ES ekomarķējuma kritērijus cietā seguma tīrīšanas līdzekļiem https://eur-lex.europa.eu/legal-content/LV/TXT/PDF/?uri=CELEX:32017D1217&amp;from=LV.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KOMISIJAS LĒMUMS (ES) 2017/1217 (2017. gada 23. jūnijs), ar ko nosaka ES ekomarķējuma kritērijus cietā seguma tīrīšanas līdzekļiem https://eur-lex.europa.eu/legal-content/LV/TXT/PDF/?uri=CELEX:32017D1217&amp;from=LV.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noteikumu_konsolidētā_versija_p2_22-TA-2058.docx</dc:title>
</cp:coreProperties>
</file>

<file path=docProps/custom.xml><?xml version="1.0" encoding="utf-8"?>
<Properties xmlns="http://schemas.openxmlformats.org/officeDocument/2006/custom-properties" xmlns:vt="http://schemas.openxmlformats.org/officeDocument/2006/docPropsVTypes"/>
</file>