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20. jūnijā (prot. Nr. 33 45.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4.1.1.3.i. investīcijas "Atbalsts sekundāro ambulatoro pakalpojumu sniedzēju veselības aprūpes infrastruktūras stiprināšanai, lai nodrošinātu visaptverošu ilgtspējīgu integrētu veselības pakalpojumu, mazinātu infekciju slimību izplatību, epidemioloģisko prasību nodrošināšanā"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4. komponentes "Veselība" reformu un investīciju virziena 4.1. "Kvalitatīvu un izmaksu efektīvu integrētu veselības aprūpes pakalpojumu pieejamība un veselības aprūpes sistēmas gatavība pakalpojumu nodrošināšanai epidemioloģiskajās krīzēs" 4.1.1.r. reformas "Uz cilvēku centrētas, visaptverošas, integrētas veselības aprūpes sistēmas ilgtspēja un noturība" 4.1.1.3.i. investīcijas "Atbalsts sekundāro ambulatoro pakalpojumu sniedzēju veselības aprūpes infrastruktūras stiprināšanai, lai nodrošinātu visaptverošu ilgtspējīgu integrētu veselības pakalpojumu, mazinātu infekciju slimību izplatību, epidemioloģisko prasību </w:t>
      </w:r>
      <w:r w:rsidR="00000000" w:rsidRPr="00000000" w:rsidDel="00000000">
        <w:rPr>
          <w:shd w:fill="#ffffff" w:val="clear"/>
          <w:rtl w:val="0"/>
        </w:rPr>
        <w:t xml:space="preserve">nodrošināšanā</w:t>
      </w:r>
      <w:r w:rsidR="00000000" w:rsidRPr="00000000" w:rsidDel="00000000">
        <w:rPr>
          <w:rtl w:val="0"/>
        </w:rPr>
        <w:t xml:space="preserve">" (turpmāk – investīcija) īstenošanas un uzraudzības kārtību, tostarp:</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sasaisti un ietekmi uz īstenojamo reformu;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investīcijas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ietvaros atbalstu piešķir un atbildīgās nozares ministrijas funkcijas pilda Veselības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līgumu par projekta īstenošanu slēdz Centrālā finanšu un līgumu aģentūra (turpmāk –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finansējuma saņēmējs un projekta īstenotājs ir ārstniecības iestāde, kas noteikta šo noteikumu </w:t>
      </w:r>
      <w:r w:rsidR="00000000" w:rsidRPr="00000000" w:rsidDel="00000000">
        <w:rPr>
          <w:rtl w:val="0"/>
        </w:rPr>
        <w:t xml:space="preserve">pielikumā</w:t>
      </w:r>
      <w:r w:rsidR="00000000" w:rsidRPr="00000000" w:rsidDel="00000000">
        <w:rPr>
          <w:rtl w:val="0"/>
        </w:rPr>
        <w:t xml:space="preserve"> (turpmāk – finansējuma saņēmējs).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Investīcijas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mērķis ir stiprināt sekundāro ambulatoro pakalpojumu sniedzēju veselības aprūpes pakalpojumu sniegšanas infrastruktūru, nodrošinot visaptverošu, ilgtspējīgu un integrētu veselības pakalpojumu sniegšanu, lai mazinātu infekciju slimību izplatību un veicinātu epidemioloģisko prasību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mērķa grupa ir valsts apmaksāto sekundāro ambulatoro veselības aprūpes pakalpojumu sniedzēji –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veiktās projekta darbības tieši vērstas uz Atveseļošanas fonda plāna 4.1.1.r. reformas "Uz cilvēku centrētas, visaptverošas, integrētas veselības aprūpes sistēmas ilgtspēja un noturība" (turpmāk – reforma) īstenošanu. Investīcija īstenojama sasaistē ar reformas atskaites punktu "Uz cilvēku centrētas, visaptverošas, integrētas veselības aprūpes sniegšanas modeļa attīstība, veicot investīciju stratēģijas izstrādi un izstrādājot rekomendācijas integrētas un epidemioloģiski drošas veselības aprūpes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ir sasniedzami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budžeta izpildes panākšana, ko mēra kā kopējo iepirkumu projektos, ar kuriem uzlabo sekundāro ambulatoro pakalpojumu sniedzēju infrastruktūru un kuri sasniedz vismaz 4 250 000 </w:t>
      </w:r>
      <w:r w:rsidR="00000000" w:rsidRPr="00000000" w:rsidDel="00000000">
        <w:rPr>
          <w:i w:val="1"/>
          <w:rtl w:val="0"/>
        </w:rPr>
        <w:t xml:space="preserve">euro </w:t>
      </w:r>
      <w:r w:rsidR="00000000" w:rsidRPr="00000000" w:rsidDel="00000000">
        <w:rPr>
          <w:rtl w:val="0"/>
        </w:rPr>
        <w:t xml:space="preserve">no kopējā budžeta 8 500 000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to sekundāro ambulatoro pakalpojumu sniedzēju skaits, kuriem ir uzlabota infrastruktūra, – 40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rādītāju sasniegšanu, ir noteikti šādi sasniedzamie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budžeta izpildes panākšana, ko mēra kā kopējo iepirkumu projektos, ar kuriem uzlabo sekundāro ambulatoro pakalpojumu sniedzēju infrastruktūru un kuri sasniedz vismaz 2 550 000 </w:t>
      </w:r>
      <w:r w:rsidR="00000000" w:rsidRPr="00000000" w:rsidDel="00000000">
        <w:rPr>
          <w:i w:val="1"/>
          <w:rtl w:val="0"/>
        </w:rPr>
        <w:t xml:space="preserve">euro </w:t>
      </w:r>
      <w:r w:rsidR="00000000" w:rsidRPr="00000000" w:rsidDel="00000000">
        <w:rPr>
          <w:rtl w:val="0"/>
        </w:rPr>
        <w:t xml:space="preserve">no kopējā budžeta 8 500 000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 to sekundāro ambulatoro pakalpojumu sniedzēju skaits, kuriem ir uzlabota infrastruktūra, – 20 iestādes.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Nozares ministrija divu mēnešu laikā pēc šo noteikumu spēkā stāšanās nosūta uzaicinājumus finansējuma saņēmējiem iesniegt projektu. Divu mēnešu laikā pēc nozares ministrijas uzaicinājuma nosūtīšanas finansējuma saņēmējs sagatavo projektu un iesniedz to Kohēzijas politikas fondu vadības informācijas sistēmā (turpmāk – vadības informācijas sistēma), aizpildot definētās projekta sadaļas. Ja finansējuma saņēmējs noteiktajā termiņā nav sagatavojis projektu un iesniedzis to vadības informācijas sistēmā, nozares ministrija var uzaicināt finansējuma saņēmēju iesniegt projektu atkārtoti.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normatīvajiem aktiem par Atveseļošanas fonda plāna īstenošanas un uzraudzības kārtību projektu vadības informācijas sistēmā vērtē un atzinumu sniedz nozares ministrija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atbalsts paredzēts kā investīcijas atbalsts sekundārās ambulatorās veselības aprūpes pakalpojumu sniedzēju stiprināšanai, lai nodrošinātu visaptverošu, ilgtspējīgu un integrētu veselības pakalpojumu sniegšanu, mazinātu infekcijas slimību izplatību un veicinātu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atbilst nosacījumam – nodrošināt infrastruktūras attīstību –, atbalstot atjaunošanas, pārbūves būvdarbus un iekārtu un aprīkojuma iegādi: prioritāri epidemioloģiskās drošības nodrošināšanai nepieciešamajiem infrastruktūras uzlabojumiem (tai skaitā atbilstošas ventilācijas nodrošināšanai), fiziskās vides piekļūstamības uzlabošanai (tai skaitā lai nodrošinātu piekļuvi personām ar funkcionāliem traucējumiem), infrastruktūras attīstībai integrētu pakalpojumu pieejamībai;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infrastruktūras uzlabošanas darbības plāno, balstoties uz integrētās aprūpes un epidemioloģiskās drošības pamatprincipiem, lai stiprinātu veselības sistēmas noturību un ilgtspējīgu veselības aprūpes pakalpojumu pieejamību, kā arī nodrošinātu to ārstniecības iestāžu spēju pielāgoties krīzes situācijām, kuras sniedz valsts apmaksātu veselības aprūpi, attīstot integrētiem un epidemioloģiski drošiem veselības aprūpes pakalpojumiem nepieciešamo infrastruktūru;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darbības ir vērstas uz </w:t>
      </w:r>
      <w:r w:rsidR="00000000" w:rsidRPr="00000000" w:rsidDel="00000000">
        <w:rPr>
          <w:rtl w:val="0"/>
        </w:rPr>
        <w:t xml:space="preserve">Eiropas Parlamenta un Padomes 2021. gada 12. februāra Regulas (ES) 2021/241, ar ko izveido Atveseļošanas un noturības mehānismu</w:t>
      </w:r>
      <w:r w:rsidR="00000000" w:rsidRPr="00000000" w:rsidDel="00000000">
        <w:rPr>
          <w:rtl w:val="0"/>
        </w:rPr>
        <w:t xml:space="preserve"> (turpmāk – regula Nr. </w:t>
      </w:r>
      <w:r w:rsidR="00000000" w:rsidRPr="00000000" w:rsidDel="00000000">
        <w:rPr>
          <w:rtl w:val="0"/>
        </w:rPr>
        <w:t xml:space="preserve">2021/241</w:t>
      </w:r>
      <w:r w:rsidR="00000000" w:rsidRPr="00000000" w:rsidDel="00000000">
        <w:rPr>
          <w:rtl w:val="0"/>
        </w:rPr>
        <w:t xml:space="preserve">) </w:t>
      </w:r>
      <w:r w:rsidR="00000000" w:rsidRPr="00000000" w:rsidDel="00000000">
        <w:rPr>
          <w:rtl w:val="0"/>
        </w:rPr>
        <w:t xml:space="preserve">5. panta 2. punkta</w:t>
      </w:r>
      <w:r w:rsidR="00000000" w:rsidRPr="00000000" w:rsidDel="00000000">
        <w:rPr>
          <w:rtl w:val="0"/>
        </w:rPr>
        <w:t xml:space="preserve"> un </w:t>
      </w:r>
      <w:r w:rsidR="00000000" w:rsidRPr="00000000" w:rsidDel="00000000">
        <w:rPr>
          <w:rtl w:val="0"/>
        </w:rPr>
        <w:t xml:space="preserve">Eiropas Parlamenta un Padomes 2020. gada 18. jūnija Regulas (ES) 2020/852 par regulējuma izveidi ilgtspējīgu ieguldījumu veicināšanai un ar ko groza Regulu (ES) 2019/2088</w:t>
      </w:r>
      <w:r w:rsidR="00000000" w:rsidRPr="00000000" w:rsidDel="00000000">
        <w:rPr>
          <w:rtl w:val="0"/>
        </w:rPr>
        <w:t xml:space="preserve"> (turpmāk – regula Nr. </w:t>
      </w:r>
      <w:r w:rsidR="00000000" w:rsidRPr="00000000" w:rsidDel="00000000">
        <w:rPr>
          <w:rtl w:val="0"/>
        </w:rPr>
        <w:t xml:space="preserve">2020/852</w:t>
      </w:r>
      <w:r w:rsidR="00000000" w:rsidRPr="00000000" w:rsidDel="00000000">
        <w:rPr>
          <w:rtl w:val="0"/>
        </w:rPr>
        <w:t xml:space="preserve">), </w:t>
      </w:r>
      <w:r w:rsidR="00000000" w:rsidRPr="00000000" w:rsidDel="00000000">
        <w:rPr>
          <w:rtl w:val="0"/>
        </w:rPr>
        <w:t xml:space="preserve">17. panta</w:t>
      </w:r>
      <w:r w:rsidR="00000000" w:rsidRPr="00000000" w:rsidDel="00000000">
        <w:rPr>
          <w:rtl w:val="0"/>
        </w:rPr>
        <w:t xml:space="preserve"> principa "Nenodarīt būtisku kaitējumu" vides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infrastruktūras uzlabošanas darbības paredz ārstniecības iestāžu infrastruktūras struktūrvienību attīstību atbilstoši ārstniecības iestādes sniegtajiem valsts apmaksātajiem veselības aprūpes pakalpojumiem un programmām saskaņā ar normatīvo regulējumu veselības aprūpes pakalpojumu organizēšanas un samaksas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tiek sniegts komercdarbības atbalsts saskaņā ar 2011. gada 20. decembra </w:t>
      </w:r>
      <w:r w:rsidR="00000000" w:rsidRPr="00000000" w:rsidDel="00000000">
        <w:rPr>
          <w:rtl w:val="0"/>
        </w:rPr>
        <w:t xml:space="preserve">Komisijas lēmumu 2012/21/ES par Līguma par ES darbību 106. panta 2. punkta piemērošanu valsts atbalstam attiecībā uz kompensāciju par sabiedriskajiem pakalpojumiem dažiem uzņēmumiem, kuriem uzticēts sniegt pakalpojumus ar vispārēju tautsaimniecisku nozīmi</w:t>
      </w:r>
      <w:r w:rsidR="00000000" w:rsidRPr="00000000" w:rsidDel="00000000">
        <w:rPr>
          <w:rtl w:val="0"/>
        </w:rPr>
        <w:t xml:space="preserve">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saņēmējs neatbilst Eiropas Parlamenta un Padomes 2018. gada 18. jūlija Regulas (ES, Euratom) </w:t>
      </w:r>
      <w:r w:rsidR="00000000" w:rsidRPr="00000000" w:rsidDel="00000000">
        <w:rPr>
          <w:rtl w:val="0"/>
        </w:rPr>
        <w:t xml:space="preserve">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000000" w:rsidRPr="00000000" w:rsidDel="00000000">
        <w:rPr>
          <w:rtl w:val="0"/>
        </w:rPr>
        <w:t xml:space="preserve">, 136. pantā ("Izslēgšanas kritēriji un lēmumi par izslēgšanu") noteiktajiem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finansējuma saņēmējam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izvērtē finansējuma saņēmēja ievadītos projekta datus vadības informācijas sistēmā un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atzinumu par projektu paziņo finansējuma saņēmējam. Projekta vērtējums var būt "atbilst", "neatbilst" vai "novēršami trūkumi". Ja projekta vērtējums ir "atbilst", aģentūra mēneša laikā kopš atzinuma paziņošanas slēdz ar finansējuma saņēmēju līgumu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projekta vērtējums saskaņā ar 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ir "novēršami trūkumi", finansējuma saņēmējs vadības informācijas sistēmā atzinumā noteiktajā termiņā veic precizējumus projektā un nozares ministrija mēneša laikā pēc precizējumu saņemšanas atkārtoti sniedz vērtējumu. Ja finansējuma saņēmējs neizpilda atzinumā ietvertos nosacījumus, nozares ministrija atkārtoti pieņem vērtējumu "novēršami trūkumi". Projekts, kas trešo reizi saņem atzinumu ar vērtējumu "novēršami trūkumi" un minētie trūkumi noteiktajā termiņā vai apmērā netiek novērsti, tiek noraidīts.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finansējuma saņēmējs neveic precizējumus projektā, projekta vērtējums ir "neatbilst" un projekts netiek saskaņots, kā arī līgums par projekta īstenošanu netiek slēgts. Projekta vērtējums ir "neatbilst", ja finansējuma saņēmējs nav izpildījis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norādītos kritērijus. Nozares ministrija var uzaicināt finansējuma saņēmēju iesniegt projektu atkārtoti.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līgums par projekta īstenošanu netiek noslēgts noteiktajā termiņā, finansējuma saņēmējs zaudē tiesības slēgt attiecīgo līgumu un saņemt Atveseļošanas fonda finansējumu.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Jebkuras izmaiņas līgumā par projekta īstenošanu, kas skar finansējumu,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minēto rādītāju sasniegšanu un termiņus, finansējuma saņēmējs vadības informācijas sistēmā saskaņo ar nozares ministriju. Nozares ministrija atzinumu sniedz mēneša laikā, skaitot no brīža, kad saņemta informācija par šajā punktā plānotajām izmaiņām projektā.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Investīcijas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Investīcijas ietvaros kopējais attiecināmais finansējums ir 10 285 000 </w:t>
      </w:r>
      <w:r w:rsidR="00000000" w:rsidRPr="00000000" w:rsidDel="00000000">
        <w:rPr>
          <w:i w:val="1"/>
          <w:rtl w:val="0"/>
        </w:rPr>
        <w:t xml:space="preserve">euro</w:t>
      </w:r>
      <w:r w:rsidR="00000000" w:rsidRPr="00000000" w:rsidDel="00000000">
        <w:rPr>
          <w:rtl w:val="0"/>
        </w:rPr>
        <w:t xml:space="preserve">, tai skaitā Atveseļošanas fonda finansējums ir 8 500 000 </w:t>
      </w:r>
      <w:r w:rsidR="00000000" w:rsidRPr="00000000" w:rsidDel="00000000">
        <w:rPr>
          <w:i w:val="1"/>
          <w:rtl w:val="0"/>
        </w:rPr>
        <w:t xml:space="preserve">euro </w:t>
      </w:r>
      <w:r w:rsidR="00000000" w:rsidRPr="00000000" w:rsidDel="00000000">
        <w:rPr>
          <w:rtl w:val="0"/>
        </w:rPr>
        <w:t xml:space="preserve">un nacionālais finansējums (valsts budžets un privātais finansējums) vismaz 1 785 000 </w:t>
      </w:r>
      <w:r w:rsidR="00000000" w:rsidRPr="00000000" w:rsidDel="00000000">
        <w:rPr>
          <w:i w:val="1"/>
          <w:rtl w:val="0"/>
        </w:rPr>
        <w:t xml:space="preserve">euro</w:t>
      </w:r>
      <w:r w:rsidR="00000000" w:rsidRPr="00000000" w:rsidDel="00000000">
        <w:rPr>
          <w:rtl w:val="0"/>
        </w:rPr>
        <w:t xml:space="preserve">, tai skaitā nacionālais valsts budžeta finansējums piešķirts pievienotās vērtības nodokļa segšanai ne vairāk kā 109 844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Atveseļošanas fonda finansējums nesedz investīcijas pievienotās vērtības nodokļa izmaksas, bet šādas izmaksas ir iekļaujamas Atveseļošanas fonda finansētā projekta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ietvaros pievienotās vērtības nodoklis no valsts budžeta tiek segts valsts un pašvaldību ārstniecības iestādēm, ja atbilstoši normatīvajiem aktiem par pievienotās vērtības nodokli to nevar atgūt.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Iesniedzot projektu, finansējuma saņēmējs nosaka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minētās projekta kopējās attiecināmās izmaksas, nacionālā valsts budžeta finansējuma un privātā finansējuma apjomu atbilstoši infrastruktūras izmantošanas proporcijai valsts apmaksāto veselības aprūpes pakalpojumu sniegšanai un citu darbību veikšanai, ko aprēķina saskaņā ar šo noteikumu </w:t>
      </w:r>
      <w:r w:rsidR="00000000" w:rsidRPr="00000000" w:rsidDel="00000000">
        <w:rPr>
          <w:rtl w:val="0"/>
        </w:rPr>
        <w:t xml:space="preserve">40. </w:t>
      </w:r>
      <w:r w:rsidR="00000000" w:rsidRPr="00000000" w:rsidDel="00000000">
        <w:rPr>
          <w:rtl w:val="0"/>
        </w:rPr>
        <w:t xml:space="preserve">punktu</w:t>
      </w:r>
      <w:r w:rsidR="00000000" w:rsidRPr="00000000" w:rsidDel="00000000">
        <w:rPr>
          <w:rtl w:val="0"/>
        </w:rPr>
        <w:t xml:space="preserve"> (turpmāk – infrastruktūras izmantošanas proporcija).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Individuāli katram finansējuma saņēmēja projektam pieejamais publiskais Atveseļošanas fonda finansējums nav lielāks par šo noteikumu </w:t>
      </w:r>
      <w:r w:rsidR="00000000" w:rsidRPr="00000000" w:rsidDel="00000000">
        <w:rPr>
          <w:rtl w:val="0"/>
        </w:rPr>
        <w:t xml:space="preserve">pielikumā</w:t>
      </w:r>
      <w:r w:rsidR="00000000" w:rsidRPr="00000000" w:rsidDel="00000000">
        <w:rPr>
          <w:rtl w:val="0"/>
        </w:rPr>
        <w:t xml:space="preserve"> norādīto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īstenošanas laikā finansējuma saņēmējs saskaņā ar līgumu par projekta īstenošanu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atbilstoši projektā noslēgtajiem pakalpojumu, preču piegādes vai būvdarbu līgumiem. Aģentūra, pamatojoties uz finansējuma saņēmēja pieprasījumu un atbilstoši projekta finansēšanas plānam avansa maksājumu var piešķirt vairākos maksājumos, ievērojot, ka avansa maksājums nav lielāks par 30 % no projektā paredzētā Atveseļošanas fonda finansējuma apmēra un ka nākamo avansu var saņemt pēc tam, kad iepriekšējais ir apgūts pilnā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minēto investīcijas rādītāju.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 rādītāja sasniegšanu individuāli šo noteikumu </w:t>
      </w:r>
      <w:r w:rsidR="00000000" w:rsidRPr="00000000" w:rsidDel="00000000">
        <w:rPr>
          <w:rtl w:val="0"/>
        </w:rPr>
        <w:t xml:space="preserve">pielikumā</w:t>
      </w:r>
      <w:r w:rsidR="00000000" w:rsidRPr="00000000" w:rsidDel="00000000">
        <w:rPr>
          <w:rtl w:val="0"/>
        </w:rPr>
        <w:t xml:space="preserve"> minēto finansējuma saņēmēju līmenī nosaka brīdī, kad visi finansējuma saņēmēji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 kārtībā ir ievadījuši datus vadības informācijas sistēmā un rādītāju vērtības saskaņojuši ar nozares ministriju.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minētā avansa un šo noteikumu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minētā starpposma maksājumu kopsumma nepārsniedz 90 % no kopējā projekta investīcijas finansējuma.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Komercdarbības 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Komercdarbības atbalstu piešķir saskaņā ar </w:t>
      </w:r>
      <w:r w:rsidR="00000000" w:rsidRPr="00000000" w:rsidDel="00000000">
        <w:rPr>
          <w:rtl w:val="0"/>
        </w:rPr>
        <w:t xml:space="preserve">Eiropas Komisijas lēmumu Nr.</w:t>
      </w:r>
      <w:r w:rsidR="00000000" w:rsidRPr="00000000" w:rsidDel="00000000">
        <w:rPr>
          <w:rtl w:val="0"/>
        </w:rPr>
        <w:t xml:space="preserve">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komercdarbības atbalsta piešķiršanas dienu ir uzskatāma diena, kad sniegts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minētais nozares ministrijas atzinums par projekta vērtējuma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pirms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pienākuma izpildes atbilstoši normatīvajiem aktiem par veselības aprūpes organizēšanas un samaksas kārtību ar Nacionālo veselības dienestu (turpmāk – pilnvarojuma uzlicējs) ir noslēdzis deleģēšanas līgumu par sabiedrisko pakalpojumu sniegšanu. Līgumā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piešķirto ekskluzīvo vai īpašo tiesību būtību;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w:t>
      </w:r>
      <w:r w:rsidR="00000000" w:rsidRPr="00000000" w:rsidDel="00000000">
        <w:rPr>
          <w:rtl w:val="0"/>
        </w:rPr>
        <w:t xml:space="preserve">Eiropas Komisijas lēmumu Nr.</w:t>
      </w:r>
      <w:r w:rsidR="00000000" w:rsidRPr="00000000" w:rsidDel="00000000">
        <w:rPr>
          <w:rtl w:val="0"/>
        </w:rPr>
        <w:t xml:space="preserve">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aizpildot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minētās definētās projekta sadaļas, projektam pievieno vispārējas tautsaimnieciskas nozīmes pakalpojuma sniegšanas pilnvarojuma uzlicēja apliecinājumu, ka tas kontrolēs un pārskatīs šo noteikumu </w:t>
      </w:r>
      <w:r w:rsidR="00000000" w:rsidRPr="00000000" w:rsidDel="00000000">
        <w:rPr>
          <w:rtl w:val="0"/>
        </w:rPr>
        <w:t xml:space="preserve">27.6. </w:t>
      </w:r>
      <w:r w:rsidR="00000000" w:rsidRPr="00000000" w:rsidDel="00000000">
        <w:rPr>
          <w:rtl w:val="0"/>
        </w:rPr>
        <w:t xml:space="preserve">apakšpunktā</w:t>
      </w:r>
      <w:r w:rsidR="00000000" w:rsidRPr="00000000" w:rsidDel="00000000">
        <w:rPr>
          <w:rtl w:val="0"/>
        </w:rPr>
        <w:t xml:space="preserve"> minētos deleģēšanas līgumā paredzētos atlīdzības (kompensācijas) maksājumus, kā arī novērsīs un atgūs deleģēšanas līgumā paredzēto atlīdzības (kompensācijas) maksājumu pārmaksu, ievērojot </w:t>
      </w:r>
      <w:r w:rsidR="00000000" w:rsidRPr="00000000" w:rsidDel="00000000">
        <w:rPr>
          <w:rtl w:val="0"/>
        </w:rPr>
        <w:t xml:space="preserve">Eiropas Komisijas lēmumā Nr.</w:t>
      </w:r>
      <w:r w:rsidR="00000000" w:rsidRPr="00000000" w:rsidDel="00000000">
        <w:rPr>
          <w:rtl w:val="0"/>
        </w:rPr>
        <w:t xml:space="preserve"> </w:t>
      </w:r>
      <w:r w:rsidR="00000000" w:rsidRPr="00000000" w:rsidDel="00000000">
        <w:rPr>
          <w:rtl w:val="0"/>
        </w:rPr>
        <w:t xml:space="preserve">2012/21/ES</w:t>
      </w:r>
      <w:r w:rsidR="00000000" w:rsidRPr="00000000" w:rsidDel="00000000">
        <w:rPr>
          <w:rtl w:val="0"/>
        </w:rPr>
        <w:t xml:space="preserve"> noteikto pārbaužu regularitāti, bet ne retāk kā reizi trijos gados un pilnvarojuma akta darbības perioda beigās.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nozares ministrijai visu projekta ietvaros saņemto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nozares ministrijai ir pienākums dokumentāciju, kas saistīta ar komercdarbības atbalsta piešķiršanu, glabāt 10 gadus no komercdarbības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komercdarbības atbalstu drīkst kumulēt ar citu komercdarbības atbalstu, kas sniegts saskaņā ar </w:t>
      </w:r>
      <w:r w:rsidR="00000000" w:rsidRPr="00000000" w:rsidDel="00000000">
        <w:rPr>
          <w:rtl w:val="0"/>
        </w:rPr>
        <w:t xml:space="preserve">Eiropas Komisijas lēmumu Nr.</w:t>
      </w:r>
      <w:r w:rsidR="00000000" w:rsidRPr="00000000" w:rsidDel="00000000">
        <w:rPr>
          <w:rtl w:val="0"/>
        </w:rPr>
        <w:t xml:space="preserve"> </w:t>
      </w:r>
      <w:r w:rsidR="00000000" w:rsidRPr="00000000" w:rsidDel="00000000">
        <w:rPr>
          <w:rtl w:val="0"/>
        </w:rPr>
        <w:t xml:space="preserve">2012/21/ES</w:t>
      </w:r>
      <w:r w:rsidR="00000000" w:rsidRPr="00000000" w:rsidDel="00000000">
        <w:rPr>
          <w:rtl w:val="0"/>
        </w:rPr>
        <w:t xml:space="preserve">, citas komercdarbības atbalsta programmas vai individuālā komercdarbības atbalsta projekta ietvaros par vienām un tām pašām attiecināmajām izmaksām, ja pēc komercdarbības atbalstu apvienošanas komercdarbības atbalsta vienībai vai izmaksu pozīcijai attiecīgā maksimālā komercdarbības atbalsta intensitāte nepārsniedz 100 %.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Investīcijas 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investīcijas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audits vai revīzija.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 </w:t>
      </w:r>
      <w:r w:rsidR="00000000" w:rsidRPr="00000000" w:rsidDel="00000000">
        <w:rPr>
          <w:rtl w:val="0"/>
        </w:rPr>
        <w:t xml:space="preserve">apakšpunktā</w:t>
      </w:r>
      <w:r w:rsidR="00000000" w:rsidRPr="00000000" w:rsidDel="00000000">
        <w:rPr>
          <w:rtl w:val="0"/>
        </w:rPr>
        <w:t xml:space="preserve"> minētās atbalstāmās darbības ietvaros ir attiecināmas šādas ar būvdarbiem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būvprojekta minimālā sastāvā un būvprojekta izstrādes izmaksas, projekta ekspertīžu izmaksas, autoruzraudzības un būvuzraudzības izmaksas un būvniecības jomu regulējošajos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 tai skaitā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 </w:t>
      </w:r>
      <w:r w:rsidR="00000000" w:rsidRPr="00000000" w:rsidDel="00000000">
        <w:rPr>
          <w:rtl w:val="0"/>
        </w:rPr>
        <w:t xml:space="preserve">apakšpunktā</w:t>
      </w:r>
      <w:r w:rsidR="00000000" w:rsidRPr="00000000" w:rsidDel="00000000">
        <w:rPr>
          <w:rtl w:val="0"/>
        </w:rPr>
        <w:t xml:space="preserve"> minētās atbalstāmās darbības ietvaros ir attiecināmas šādas ārstniecības procesam tieši nepieciešamo tehnoloģiju piegādes (tai skaitā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medicīnisko tehnoloģiju vienas vienības piegādes izmaksas, ieskaitot pievienotās vērtības nodokli, pārsniedz 20 000 </w:t>
      </w:r>
      <w:r w:rsidR="00000000" w:rsidRPr="00000000" w:rsidDel="00000000">
        <w:rPr>
          <w:i w:val="1"/>
          <w:rtl w:val="0"/>
        </w:rPr>
        <w:t xml:space="preserve">euro</w:t>
      </w:r>
      <w:r w:rsidR="00000000" w:rsidRPr="00000000" w:rsidDel="00000000">
        <w:rPr>
          <w:rtl w:val="0"/>
        </w:rPr>
        <w:t xml:space="preserve">, nepieciešams Veselības ministrijas – vadošās valsts pārvaldes iestādes veselības jomā –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 </w:t>
      </w:r>
      <w:r w:rsidR="00000000" w:rsidRPr="00000000" w:rsidDel="00000000">
        <w:rPr>
          <w:rtl w:val="0"/>
        </w:rPr>
        <w:t xml:space="preserve">apakšpunktā</w:t>
      </w:r>
      <w:r w:rsidR="00000000" w:rsidRPr="00000000" w:rsidDel="00000000">
        <w:rPr>
          <w:rtl w:val="0"/>
        </w:rPr>
        <w:t xml:space="preserve"> minētās atbalstāmās darbības ir attiecināmas šādu prioritāru darbību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epidemioloģiskajai drošībai nepieciešamajiem infrastruktūras uzlabojumiem (tai skaitā atbilstošas ventilācijas nodrošināšanai);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fiziskās vides piekļūstamības uzlabošanai (tai skaitā lai nodrošinātu piekļuvi personām ar funkcionāliem traucējumiem);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infrastruktūras attīstībai, lai nodrošinātu integrētu pakalpojumu pieejamību.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minētās atbalstāmās darbības var iekļaut arī valsts apmaksāto primārās veselības aprūpes pakalpojumu nodrošināšanas infrastruktūras attīstību.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 </w:t>
      </w:r>
      <w:r w:rsidR="00000000" w:rsidRPr="00000000" w:rsidDel="00000000">
        <w:rPr>
          <w:rtl w:val="0"/>
        </w:rPr>
        <w:t xml:space="preserve">apakšpunktā</w:t>
      </w:r>
      <w:r w:rsidR="00000000" w:rsidRPr="00000000" w:rsidDel="00000000">
        <w:rPr>
          <w:rtl w:val="0"/>
        </w:rPr>
        <w:t xml:space="preserve"> minētā atbalstāmā darbība iekļauj zvērināta revidenta, zvērinātu revidentu komercsabiedrības, starptautiski atzītu profesionālo organizāciju sertificēta auditora ziņojumu par saskaņoto procedūru veikšanu par projekta darbību un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 rādītāja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pēc līguma par projekta īstenošanu noslēgšanas. Projektā neiekļauj darbības, kas ir pabeigtas līguma par projekta īstenošanu noslēgšanas brīdī.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Projektu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Ņemot vērā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norādītās darbības,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  </w:t>
      </w:r>
      <w:r w:rsidR="00000000" w:rsidRPr="00000000" w:rsidDel="00000000">
        <w:rPr>
          <w:rtl w:val="0"/>
        </w:rPr>
        <w:t xml:space="preserve">                                                                      </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905000"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905000" cy="609600"/>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publ_kop</w:t>
      </w:r>
      <w:r w:rsidR="00000000" w:rsidRPr="00000000" w:rsidDel="00000000">
        <w:rPr>
          <w:rtl w:val="0"/>
        </w:rPr>
        <w:t xml:space="preserve"> – projekta kopējo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gadu skaits, par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r w:rsidR="00000000" w:rsidRPr="00000000" w:rsidDel="00000000">
        <w:rPr>
          <w:rtl w:val="0"/>
        </w:rPr>
        <w:t xml:space="preserve">                                                                    </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905000" cy="495299"/>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905000" cy="495299"/>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rtl w:val="0"/>
        </w:rPr>
        <w:t xml:space="preserve"> – attiecīgā gada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Finansējuma saņēmējs informāciju par infrastruktūras izmantošanas proporciju iesniedz nozares ministrijai: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iesniedzot projektu vadības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40.1. </w:t>
      </w:r>
      <w:r w:rsidR="00000000" w:rsidRPr="00000000" w:rsidDel="00000000">
        <w:rPr>
          <w:rtl w:val="0"/>
        </w:rPr>
        <w:t xml:space="preserve">apakšpunktu</w:t>
      </w:r>
      <w:r w:rsidR="00000000" w:rsidRPr="00000000" w:rsidDel="00000000">
        <w:rPr>
          <w:rtl w:val="0"/>
        </w:rPr>
        <w:t xml:space="preserve">, nozares ministrija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iesniedzot projekta noslēguma maksājuma pieprasījumu, nodrošina, ka saskaņā ar šo noteikumu </w:t>
      </w:r>
      <w:r w:rsidR="00000000" w:rsidRPr="00000000" w:rsidDel="00000000">
        <w:rPr>
          <w:rtl w:val="0"/>
        </w:rPr>
        <w:t xml:space="preserve">40.1. </w:t>
      </w:r>
      <w:r w:rsidR="00000000" w:rsidRPr="00000000" w:rsidDel="00000000">
        <w:rPr>
          <w:rtl w:val="0"/>
        </w:rPr>
        <w:t xml:space="preserve">apakšpunktu</w:t>
      </w:r>
      <w:r w:rsidR="00000000" w:rsidRPr="00000000" w:rsidDel="00000000">
        <w:rPr>
          <w:rtl w:val="0"/>
        </w:rPr>
        <w:t xml:space="preserve">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 privāto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attiecinātu pievienotās vērtības nodokļa izmaksas, finansējuma saņēmējs projekta maksājuma pieprasījumam pievieno apliecinājumu, ka minētās izmaksas nav un netiks atgūtas no valsts budžeta priekšnodokļa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Līgumā par projekta īstenošanu paredz vismaz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maksājuma pieprasījuma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iesniedz dokumentus, kas apliecina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minēto rādītāju sasniegšanu: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kopiju no vadības informācijas sistēmas, kas apstiprina apstrādāto iepirkumu kopējo summu;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sarakstu un nolīgtās summas;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izrakstu no nolīgto iepirkumu konkursa specifikācijas attiecīgajām daļām, kas pierāda projektu atbilstību investīcijas mērķim un aprakstam (īpaši ņemot vērā epidemioloģisko drošību, vides piekļūstamību un integrēto aprūpes pakalpojumu infrastruktūru);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īsu darbības aprakstu, kas apliecina atbilstību investīcijas mērķim un aprakstam (īpaši ņemot vērā epidemioloģisko drošību, vides piekļūstamību un integrēto aprūpes pakalpojumu infrastruktūru);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pierādījumus par darbu pabeigšanu un to, ka infrastruktūra un aprīkojums ir darba kārtībā, piemēram, kopiju projekta virzītāja ziņojumam par projekta pabeigšanu un aģentūras apstiprinājumu par projekta pabeigšanu;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vadības informācijas sistēmā ievada datus, tai skaitā nosakot, 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kopējo noslēgto iepirkumu līgumu apjomu projektā;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noslēgtajiem iepirkumu līgumiem, kas ietver izvilkumu no tehniskās specifikācijas un pamato iepirkuma atbilstību projekta mērķim – nodrošināt visaptverošu, ilgtspējīgu, integrētu veselības aprūpes pakalpojumu attīstību atbalstāmajā infrastruktūrā;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šo noteikumu </w:t>
      </w:r>
      <w:r w:rsidR="00000000" w:rsidRPr="00000000" w:rsidDel="00000000">
        <w:rPr>
          <w:rtl w:val="0"/>
        </w:rPr>
        <w:t xml:space="preserve">46.4.2. </w:t>
      </w:r>
      <w:r w:rsidR="00000000" w:rsidRPr="00000000" w:rsidDel="00000000">
        <w:rPr>
          <w:rtl w:val="0"/>
        </w:rPr>
        <w:t xml:space="preserve">apakšpunktā</w:t>
      </w:r>
      <w:r w:rsidR="00000000" w:rsidRPr="00000000" w:rsidDel="00000000">
        <w:rPr>
          <w:rtl w:val="0"/>
        </w:rPr>
        <w:t xml:space="preserve"> minēto dokumentāciju iesniedz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zvērināta revidenta, zvērinātu revidentu komercsabiedrības, starptautiski atzītu profesionālo organizāciju sertificēta auditora ziņojumu par saskaņoto procedūru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saskaņā ar normatīvajiem aktiem par Atveseļošanas fonda plāna īstenošanas un uzraudzības kārtību maksājumu pieprasījumu datus, izdevumus un sasniegto rādītāju pamatojošo dokumentāciju uzkrāj un ievada vadības informācijas sistēmā divas reizes gadā.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w:t>
      </w:r>
      <w:r w:rsidR="00000000" w:rsidRPr="00000000" w:rsidDel="00000000">
        <w:rPr>
          <w:rtl w:val="0"/>
        </w:rPr>
        <w:t xml:space="preserve">34. panta 2. punktu</w:t>
      </w:r>
      <w:r w:rsidR="00000000" w:rsidRPr="00000000" w:rsidDel="00000000">
        <w:rPr>
          <w:rtl w:val="0"/>
        </w:rPr>
        <w:t xml:space="preserve"> un </w:t>
      </w:r>
      <w:r w:rsidR="00000000" w:rsidRPr="00000000" w:rsidDel="00000000">
        <w:rPr>
          <w:rtl w:val="0"/>
        </w:rPr>
        <w:t xml:space="preserve">Eiropas Komisijas un Latvijas Republikas Atveseļošanas un noturības mehānisma finansēšanas nolīguma 10. pantu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2021/241</w:t>
      </w:r>
      <w:r w:rsidR="00000000" w:rsidRPr="00000000" w:rsidDel="00000000">
        <w:rPr>
          <w:rtl w:val="0"/>
        </w:rPr>
        <w:t xml:space="preserve"> </w:t>
      </w:r>
      <w:r w:rsidR="00000000" w:rsidRPr="00000000" w:rsidDel="00000000">
        <w:rPr>
          <w:rtl w:val="0"/>
        </w:rPr>
        <w:t xml:space="preserve">22. pantam</w:t>
      </w:r>
      <w:r w:rsidR="00000000" w:rsidRPr="00000000" w:rsidDel="00000000">
        <w:rPr>
          <w:rtl w:val="0"/>
        </w:rPr>
        <w:t xml:space="preserve"> finansējuma saņēmējs nodrošina, ka visā projekta īstenošanas laikā tiks ievēroti normatīvajos aktos noteiktie interešu konflikta, korupcijas un krāpšanas novēršanas un dubultā finansējuma novēršanas nosacījumi, kuriem iestājoties pret finansējuma saņēmēju atbilstoši normatīvajiem aktiem par Atveseļošanas fonda plāna īstenošanas un uzraudzības kārtību tiks piemērotas attiecīgas korektīvās darbības.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saņēmējam ir pienākums nodrošināt, ka normatīvajos aktos par Atveseļošanas fonda plāna īstenošanas un uzraudzības kārtību minētajām institūcijām, Eiropas Komisijas un Latvijas Republikas Atveseļošanas un noturības mehānisma finansēšanas nolīgumā minētajām Eiropas Komisijas un Latvijas Republikas iestādēm ir pieejama ar projekta īstenošanu saistītā dokumentācija.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2021/241</w:t>
      </w:r>
      <w:r w:rsidR="00000000" w:rsidRPr="00000000" w:rsidDel="00000000">
        <w:rPr>
          <w:rtl w:val="0"/>
        </w:rPr>
        <w:t xml:space="preserve"> </w:t>
      </w:r>
      <w:r w:rsidR="00000000" w:rsidRPr="00000000" w:rsidDel="00000000">
        <w:rPr>
          <w:rtl w:val="0"/>
        </w:rPr>
        <w:t xml:space="preserve">5. panta</w:t>
      </w:r>
      <w:r w:rsidR="00000000" w:rsidRPr="00000000" w:rsidDel="00000000">
        <w:rPr>
          <w:rtl w:val="0"/>
        </w:rPr>
        <w:t xml:space="preserve"> 2. punktam un regulas Nr. </w:t>
      </w:r>
      <w:r w:rsidR="00000000" w:rsidRPr="00000000" w:rsidDel="00000000">
        <w:rPr>
          <w:rtl w:val="0"/>
        </w:rPr>
        <w:t xml:space="preserve">2020/852</w:t>
      </w:r>
      <w:r w:rsidR="00000000" w:rsidRPr="00000000" w:rsidDel="00000000">
        <w:rPr>
          <w:rtl w:val="0"/>
        </w:rPr>
        <w:t xml:space="preserve"> </w:t>
      </w:r>
      <w:r w:rsidR="00000000" w:rsidRPr="00000000" w:rsidDel="00000000">
        <w:rPr>
          <w:rtl w:val="0"/>
        </w:rPr>
        <w:t xml:space="preserve">17. pantam</w:t>
      </w:r>
      <w:r w:rsidR="00000000" w:rsidRPr="00000000" w:rsidDel="00000000">
        <w:rPr>
          <w:rtl w:val="0"/>
        </w:rPr>
        <w:t xml:space="preserve"> nodrošina, ka tiek ievēroti šādi principa "Nenodarīt būtisku kaitējumu" vides mērķi: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projektā plānoto darbu sasaisti, sinerģiju un demarkāciju ar citu atbalsta instrumentu investīcijām dubultfinansējuma riska mazināšanai;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projekta sadārdzinājumu no saviem līdzekļiem, ja projekta izmaksas pieaug;</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īpašumā, patapinājumā, valdījumā vai ilgtermiņa nomā vismaz 10 gadus, un tiesībām uz konkrēto objektu vai īpašumu, izņemot patapinājumu, jābūt nostiprinātām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iepirkumu, kas nepieciešams atbalstāmo darbību īstenošanai, finansējuma saņēmējs veic kā sociāli atbildīgu iepirkumu, ja attiecināms, un atbilstoši Eiropas Savienības un Latvijas Republikas iepirkumu regulējošajos normatīvajos aktos noteiktajai kārtībai, īstenojot atklātu, pārredzamu, nediskriminējošu un konkurenci nodrošinošu procedūru;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uzkrāj datus atbilstoši regulas Nr. </w:t>
      </w:r>
      <w:r w:rsidR="00000000" w:rsidRPr="00000000" w:rsidDel="00000000">
        <w:rPr>
          <w:rtl w:val="0"/>
        </w:rPr>
        <w:t xml:space="preserve">2021/241</w:t>
      </w:r>
      <w:r w:rsidR="00000000" w:rsidRPr="00000000" w:rsidDel="00000000">
        <w:rPr>
          <w:rtl w:val="0"/>
        </w:rPr>
        <w:t xml:space="preserve"> </w:t>
      </w:r>
      <w:r w:rsidR="00000000" w:rsidRPr="00000000" w:rsidDel="00000000">
        <w:rPr>
          <w:rtl w:val="0"/>
        </w:rPr>
        <w:t xml:space="preserve">27. pantam</w:t>
      </w:r>
      <w:r w:rsidR="00000000" w:rsidRPr="00000000" w:rsidDel="00000000">
        <w:rPr>
          <w:rtl w:val="0"/>
        </w:rPr>
        <w:t xml:space="preserve"> par kopīgo rādītāju "Jaunu vai modernizētu veselības aprūpes iestāžu jauda";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projekta izmaksu, tai skaitā pievienotās vērtības nodokļa izmaksu, uzskaiti un nodalīšanu. Ja sākotnēji plānotais pievienotās vērtības nodokļa apjoms ir lielāks nekā faktiski nepieciešamais, nodrošina pārmaksātā pievienotās vērtības nodokļa daļas atmaksāšanu.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ietvaros projektu īsteno saskaņā ar līgumu par projekta īstenošanu, bet ne ilgāk kā līdz 2026. gada 31. augustam, ievērojot,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izdevumus var veikt līdz 2026. gada 30.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noslēguma maksājuma pieprasījumu iesniedz līdz 2026. gada 15.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projekta noslēguma dokumentācijas pārbaudi un noslēguma maksājumu veic līdz 2026. gada 31. augustam.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Aģentūrai ir tiesības vienpusēji atkāpties no noslēgtā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paredzēti līgumā par projekta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Aģentūras un nozares ministrijas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 pēc finansējuma saņēmēja pieprasījuma nodrošina finansējuma pieprasīšanu avansa maksājuma, starpposma maksājuma, noslēguma maksājuma un pievienotās vērtības nodokļa izmaksu segšanai, ja attiecināms.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Aģentūra apstiprina projekta mērķa sasniegšanu, pamatojoties uz šo noteikumu </w:t>
      </w:r>
      <w:r w:rsidR="00000000" w:rsidRPr="00000000" w:rsidDel="00000000">
        <w:rPr>
          <w:rtl w:val="0"/>
        </w:rPr>
        <w:t xml:space="preserve">46.4. </w:t>
      </w:r>
      <w:r w:rsidR="00000000" w:rsidRPr="00000000" w:rsidDel="00000000">
        <w:rPr>
          <w:rtl w:val="0"/>
        </w:rPr>
        <w:t xml:space="preserve">apakšpunktā</w:t>
      </w:r>
      <w:r w:rsidR="00000000" w:rsidRPr="00000000" w:rsidDel="00000000">
        <w:rPr>
          <w:rtl w:val="0"/>
        </w:rPr>
        <w:t xml:space="preserve"> minēto dokumentu kopumu.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Nozares ministrija projektu ieviešanas laikā atbilstoši nepieciešamībai veic attālinātas vai klātienes pārbaudes vai auditu investīcijas mērķu sasniegšanas uzraudzībai.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22-TA-1469</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22-TA-1469</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noteikumu_projekts_22-TA-1469.docx</dc:title>
</cp:coreProperties>
</file>

<file path=docProps/custom.xml><?xml version="1.0" encoding="utf-8"?>
<Properties xmlns="http://schemas.openxmlformats.org/officeDocument/2006/custom-properties" xmlns:vt="http://schemas.openxmlformats.org/officeDocument/2006/docPropsVTypes"/>
</file>