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Krimināllikuma spēkā stāšanās un piemērošanas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Krimināllikuma spēkā stāšanās un piemērošanas kārtību" (Latvijas Republikas Saeimas un Ministru Kabineta Ziņotājs, 1998, 23. nr.; 1999, 7., 23. nr.; 2000, 14. nr.; 2002, 12., 23. nr.; 2003, 2. nr.; 2007, 6., 12. nr.; 2008, 13. nr.; 2009, 14. nr.; Latvijas Vēstnesis, 2009, 193. nr.; 2010, 178. nr.; 2011, 167., 199. nr.; 2012, 121. nr.; 2013, 38., 92. nr.; 2014, 123. nr.; 2015, 104., 227. nr.; 2016, 31., 71. nr.; 2017, 36., 124., 194. nr.; 2018, 224. nr.; 2019, 200.A, 236.A nr.; 2020, 119.C, 178., 184. nr.; 2021, 92.A nr.; 2022, 76., 110. nr.; 2024, 92. nr.; 2025, 102.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likumu ar 23.</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Atbildība par Krimināllikuma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vides stāvoklim vai virszemes ūdeņu ekoloģiskajai kvalitātei vai ekoloģiskajai ilgtspējai, vai pazemes ūdensobjektu kvantitatīvajiem rādītājiem vai ievērojamu kaitējumu ekosistēmai, dzīvotnei, dzīvniekiem vai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Novērtējot šā panta pirmajā daļā radīto būtisko kaitējumu, ņem vērā vienu vai vairākus šādus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vai īpatņu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noteiktais slieksnis, vērtība vai cits noteikts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attiecīgo īpaši aizsargājamo sugu saglabāšanās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atjaunošanas izmaksas, ja šīs izmaksas ir iespējams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rīcība ir saistīta ar videi vai cilvēka veselībai riskantu vai bīstamu darbību, kuras veikšanai ir nepieciešama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materiāls vai viela ir klasificēta kā bīstama vai citādi kaitīga videi vai cilvēka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noziedzīgā nodarījuma izraisīta pastāvīga un neatgriezeniska virszemes ūdeņu vai pazemes ūdeņu kvalitātes klases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citi nozīmīgi kritēriji."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26.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26. pants.</w:t>
      </w:r>
      <w:r w:rsidR="00000000" w:rsidRPr="00000000" w:rsidDel="00000000">
        <w:rPr>
          <w:rtl w:val="0"/>
        </w:rPr>
        <w:t xml:space="preserve"> Atbildība par Krimināllikuma 109.</w:t>
      </w:r>
      <w:r w:rsidR="00000000" w:rsidRPr="00000000" w:rsidDel="00000000">
        <w:rPr>
          <w:vertAlign w:val="superscript"/>
          <w:rtl w:val="0"/>
        </w:rPr>
        <w:t xml:space="preserve">1</w:t>
      </w:r>
      <w:r w:rsidR="00000000" w:rsidRPr="00000000" w:rsidDel="00000000">
        <w:rPr>
          <w:rtl w:val="0"/>
        </w:rPr>
        <w:t xml:space="preserve"> pantā paredzēto noziedzīgo nodarījumu iestājas, ja pārkāpts Eiropas Parlamenta un Padomes 2023. gada 31. maija regulas (ES) 2023/1115, ar ko paredz noteikumus par to, kā Savienības tirgū darīt pieejamas un kā eksportēt no Savienības konkrētas ar atmežošanu un meža degradāciju saistītas pirmpreces un izstrādājumus, un ar ko atceļ regulu (ES) Nr. 995/2010, 3. pantā noteiktais aizliegums."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informatīvo atsauci uz Eiropas Savienības direktīvām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2024. gada 11. aprīļa direktīvas (ES) 2024/1203, kas paredz noteikumus par vides krimināltiesisko aizsardzību un aizstāj direktīvas 2008/99/EK un 2009/123/EK."</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21. maijā.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25-TA-2351</w:t>
    </w:r>
    <w:r>
      <w:br/>
    </w:r>
    <w:r w:rsidR="00000000" w:rsidRPr="00000000" w:rsidDel="00000000">
      <w:rPr>
        <w:rtl w:val="0"/>
      </w:rPr>
      <w:t xml:space="preserve">Izdrukāts 29.07.2026. 23.55 - 1.0.VK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25-TA-2351</w:t>
    </w:r>
    <w:r>
      <w:br/>
    </w:r>
    <w:r w:rsidR="00000000" w:rsidRPr="00000000" w:rsidDel="00000000">
      <w:rPr>
        <w:rtl w:val="0"/>
      </w:rPr>
      <w:t xml:space="preserve">Izdrukāts 29.07.2026. 23.55 - 1.0.VK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likumprojekts_(grozījumi)_25-TA-2351.docx</dc:title>
</cp:coreProperties>
</file>

<file path=docProps/custom.xml><?xml version="1.0" encoding="utf-8"?>
<Properties xmlns="http://schemas.openxmlformats.org/officeDocument/2006/custom-properties" xmlns:vt="http://schemas.openxmlformats.org/officeDocument/2006/docPropsVTypes"/>
</file>