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Pabalsts mājsaimniecības inventāra iegādei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14.05.2024. noteikumu Nr. 286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pabalstu mājsaimniecības inventāra iegādei šādā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7796"/>
        <w:gridCol w:w="1089"/>
        <w:tblGridChange w:id="0">
          <w:tblGrid>
            <w:gridCol w:w="514"/>
            <w:gridCol w:w="7796"/>
            <w:gridCol w:w="10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Amats/dienesta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Pabalsta apmērs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Vēstnieks, pārstāvniecības vadītājs, pilnvarotais lietvedis, ģenerālkonsuls, prokurors – Eirojusta pārstāvis, prokurors – Eirojusta pārstāvja vietnieks, augstāko virsnieku sastāva karavīrs, vecākais aizsardzības nozares padomnieks, valsts tiešās pārvaldes amatpersona, kuras amats atbilst 13. un 14.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Padomnieks, prokurors – Eirojusta pārstāvja palīgs, nozares padomnieks, konsulāta vadītājs, nodaļas vadītājs, informācijas sistēmu administrators, sakaru virsnieks, vecāko virsnieku un augstāko instruktoru sastāva karavīrs, valsts tiešās pārvaldes amatpersona, kuras amats atbilst 12.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Nozares atašejs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Pirmais sekretārs, otrais sekretārs, vicekonsuls, trešais sekretārs, atašejs, vecākais eksperts, nodaļas vadītāja vietnieks, speciālists, informācijas sistēmas uzturētājs, vecākais referents, jaunāko virsnieku un vecāko instruktoru sastāva karavīrs, mājas pārvaldnieks, loģistikas speciālists, valsts tiešās pārvaldes amatpersona, kuras amats atbilst 6., 7., 8., 9., 10. vai 11.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Automobiļa vadītājs, saimniecības pārzinis, jaunāko instruktoru sastāvu un kareivju sastāva karavīrs, valsts tiešās pārvaldes amatpersona, kuras amats atbilst 1., 2., 3., 4. vai 5. mēnešalgu grupai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24-TA-2767</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24-TA-2767</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noteikumu_konsolidētā_versija_p3_24-TA-2767.docx</dc:title>
</cp:coreProperties>
</file>

<file path=docProps/custom.xml><?xml version="1.0" encoding="utf-8"?>
<Properties xmlns="http://schemas.openxmlformats.org/officeDocument/2006/custom-properties" xmlns:vt="http://schemas.openxmlformats.org/officeDocument/2006/docPropsVTypes"/>
</file>