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601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13. septembrī (prot. Nr. 44 43.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''Līdzekļi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finansējumu, kas nepārsniedz 211 716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pārskaitīšanai biedrībai ''Latvijas Basketbola savienība'',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106 716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naudas balvai par Latvijas vīriešu basketbola nacionālās izlases izcīnītajām tiesībām startēt pasaules čempionāta pieaugušajiem finālturnīrā;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finansējumu, kas nepārsniedz 105 000 </w:t>
      </w:r>
      <w:r w:rsidR="00000000" w:rsidRPr="00000000" w:rsidDel="00000000">
        <w:rPr>
          <w:i w:val="1"/>
          <w:rtl w:val="0"/>
        </w:rPr>
        <w:t xml:space="preserve">euro,</w:t>
      </w:r>
      <w:r w:rsidR="00000000" w:rsidRPr="00000000" w:rsidDel="00000000">
        <w:rPr>
          <w:rtl w:val="0"/>
        </w:rPr>
        <w:t xml:space="preserve"> lai segtu izdevumus, kas saistīti ar pilnvērtīgas dalības nodrošināšanu Pasaules kausa izcīņas finālturnīrā (atbilstoši faktiskajām izmaksām).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šā rīkojuma 1. punktā minēto apropriācijas pārdali atbilstoši faktiski nepieciešamajam finansējuma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23-TA-2243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23-TA-2243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