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dinamiskās novērošanas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Ārsta apmeklējuma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Invaliditāte*: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datums, kad piešķirta invaliditāte arodslimības dēļ*;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arodslimības diagnoze (atbilstoši aktuālajai starptautiskās statistiskās slimību un veselības problēmu klasifikācijas 10. redakcijai (turpmāk – 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vispārējās slimības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6.5. darbspēju zaudējuma procents*;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6.6. nāves cēlonis (nāves cēlonis un kods 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6.7. datums, kad iestājusies nāve*;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6.8. nāves saistība ar arodslimību*.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Pārskata gadā pārciestās slimības*: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pirmreizēja vai hroniska saslimšana*;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darbnespējas dienu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ārstēšanās stacionārā bez rehabilitācijas*;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ārstēšanās rehabilitācijas iestādē*.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Obligātajās veselības pārbaudēs konstatētās slimību diagnozes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Hronisko slimību diagnozes līdz kaitīgā darba sākumam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Arodslimību un to izraisītājfaktoru klasifikācija atbilstoši arodslimību izmeklēšanu un uzskaiti regulējošiem normatīvajiem aktiem*: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arodslimība*;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konkrētā arodslimības izraisītājfaktora noteicošās arodslimības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arodslimību izraisītājfaktors*;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10.4. arodslimību izraisītājfaktora lietojuma kategorija*.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