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redakcijā, kas grozīta ar MK 29.11.2016. noteikumiem Nr. 748; MK 22.08.2017. noteikumiem Nr. 504; MK 17.12.2020. noteikumiem Nr. 800; 11.8.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 apakšpunkts stājas spēkā 01.01.2021., sk. noteikumu 52.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Anulētas darbnespējas lapas reģistrācijas/identifikācijas numurs, uz kuras pamata atvērta jauna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(Svītrots no 01.03.2018. ar MK 22.08.2017. noteikumiem Nr. 504; sk. grozījumu 3.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Atzīmes par ārsta vai ārsta palīga noteiktā režīma pārkāpšanu*: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Darbnespējas periodi (vienai darbnespējas lapai var būt vairāki)*: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Atzīmes par nosūtīšanu pie cita ārsta*.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Iemesls nesūtīt pie cita ārsta atbilstoši normatīvajiem aktiem par kārtību, kādā tiek apliecināta personas pārejoša darbnespēja*.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jāstājas darbā (tiek norādīts, slēdzot darbnespējas lapu, ja darbnespēja neturpinās)*.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Datums, ar kuru darbnespējas lapas saņēmējam darbnespēja turpināsies (tiek norādīts, slēdzot darbnespējas lapu, ja darbnespēja 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Piezīmes par nosūtīšanu uz Veselības un darbspēju ekspertīzes ārstu valsts komisiju*.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lēmuma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20.4. Veselības un darbspēju ekspertīzes ārstu valsts komisijas amatpersonas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atzinuma tekstuālas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Darbnespējas lapas anulēšanas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tekstuālas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