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2020. gada 29. septembra noteikumos Nr. 602 "Nekustamā īpašuma darījumu starpnieka profesionālās darbības civiltiesiskās atbildības apdrošināšanas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Nekustamā īpašuma darījumu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starpnieku darbības likuma</w:t>
      </w:r>
      <w:r w:rsidR="00000000" w:rsidRPr="00000000" w:rsidDel="00000000">
        <w:rPr>
          <w:rStyle w:val="paragraph"/>
          <w:i w:val="1"/>
          <w:rtl w:val="0"/>
        </w:rPr>
        <w:t xml:space="preserve"> 9. 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29. septembra noteikumos Nr. 602 "Nekustamā īpašuma darījumu starpnieka profesionālās darbības civiltiesiskās atbildības apdrošināšanas noteikumi" (Latvijas Vēstnesis, 2020, 190. nr.; 2022, 19.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triju darbdienu laikā pēc izmaiņu veikšanas civiltiesiskās atbildības apdrošināšanas līgumā iesniegt biedrībai "Latvijas Nekustamo īpašumu darījumu asociācija", spēkā esošās civiltiesiskās atbildības apdrošināšanas polises kopiju;".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 nekavējoties, bet ne vēlāk kā triju darbdienu laikā paziņot biedrībai "Latvijas Nekustamo īpašumu darījumu asociācija", par civiltiesiskās atbildības apdrošināšanas līguma izbeigšanu."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26-TA-1233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26-TA-1233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