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29. augusta noteikumos Nr. 487 "Atbalsta noteikumi Covid-19 krīzes skartajiem sabiedriskās ēdināšanas nozares komersantiem zaudējumu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 likuma 2. pantu</w:t>
      </w:r>
      <w:r w:rsidR="00000000" w:rsidRPr="00000000" w:rsidDel="00000000">
        <w:rPr>
          <w:rStyle w:val="paragraph"/>
          <w:i w:val="1"/>
          <w:rtl w:val="0"/>
        </w:rPr>
        <w:t xml:space="preserve"> un</w:t>
      </w:r>
      <w:r>
        <w:br/>
      </w:r>
      <w:r w:rsidR="00000000" w:rsidRPr="00000000" w:rsidDel="00000000">
        <w:rPr>
          <w:rStyle w:val="paragraph"/>
          <w:i w:val="1"/>
          <w:rtl w:val="0"/>
        </w:rPr>
        <w:t xml:space="preserve">15.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29. augusta noteikumos Nr. 487 "Atbalsta noteikumi Covid-19 krīzes skartajiem sabiedriskās ēdināšanas nozares komersantiem zaudējumu kompensēšanai" (Latvijas Vēstnesis, 2023, 169. nr.; 2024, 190.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tas bija tiesīgs pretendēt un saņēmis atbalstu, kas nepārsniedz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C(2020)1863 3.1. iedaļu (shēma SA.59592,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pieteiktos atbalstam, komersants četru mēnešu laikā pēc šo noteikumu spēkā stāšanās dienas elektroniski iesniedz Valsts ieņēmumu dienestā attiecīgu iesniegumu, izmantojot Valsts ieņēmumu dienesta elektroniskās deklarēšanas sistēmu."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24-TA-3066</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24-TA-3066</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noteikumu_(grozījumu)_projekts_24-TA-3066.docx</dc:title>
</cp:coreProperties>
</file>

<file path=docProps/custom.xml><?xml version="1.0" encoding="utf-8"?>
<Properties xmlns="http://schemas.openxmlformats.org/officeDocument/2006/custom-properties" xmlns:vt="http://schemas.openxmlformats.org/officeDocument/2006/docPropsVTypes"/>
</file>