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Dzīvnieku barības aprites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 Dzīvnieku barības aprites likumā (Latvijas Republikas Saeimas un Ministru Kabineta Ziņotājs 2008, 24. nr.; Latvijas Vēstnesis, 2010, 118. nr.; 2019, 248.A nr.) šādu grozījumu: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tl w:val="0"/>
        </w:rPr>
        <w:t xml:space="preserve">Izteikt 3. panta otro daļu šādā redakcijā: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jc w:val="both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"(2) Eiropas Parlamenta un Padomes 2005. gada 12. janvāra Regulas (EK) Nr. 183/2005, ar ko paredz barības higiēnas prasības (dokuments attiecas uz EEZ), 9. panta 3. punktā noteiktās kompetentās iestādes funkcijas pilda Lauku atbalsta dienests."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2025. gada 1. janvārī.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ministra pienākumu izpildītājs ‒ labklājības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U. Augulis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24-TA-1982</w:t>
    </w:r>
    <w:r>
      <w:br/>
    </w:r>
    <w:r w:rsidR="00000000" w:rsidRPr="00000000" w:rsidDel="00000000">
      <w:rPr>
        <w:rtl w:val="0"/>
      </w:rPr>
      <w:t xml:space="preserve">Izdrukāts 29.07.2026. 21.51 - 1.0.VK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24-TA-1982</w:t>
    </w:r>
    <w:r>
      <w:br/>
    </w:r>
    <w:r w:rsidR="00000000" w:rsidRPr="00000000" w:rsidDel="00000000">
      <w:rPr>
        <w:rtl w:val="0"/>
      </w:rPr>
      <w:t xml:space="preserve">Izdrukāts 29.07.2026. 21.51 - 1.0.VK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likumprojekts_(grozījumi)_24-TA-1982.docx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