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w:t>
      </w:r>
      <w:r>
        <w:br/>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5. septembra noteikumos Nr. 537 "Noteikumi par portfeļgarantijām sīko (mikro), mazo un vidējo saimnieciskās darbības veicēju – juridisko personu – kreditēšanas veicināšanai" (Latvijas Vēstnesis, 2017, 180. nr.; 2018, 49. nr.; 2020, 60A., 74A., 248. nr.; 2021, 77., 130. nr.; 2022, 53. nr.; 2023, 173.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Garantiju sniedz kā </w:t>
      </w:r>
      <w:r w:rsidR="00000000" w:rsidRPr="00000000" w:rsidDel="00000000">
        <w:rPr>
          <w:i w:val="1"/>
          <w:rtl w:val="0"/>
        </w:rPr>
        <w:t xml:space="preserve">de minimis</w:t>
      </w:r>
      <w:r w:rsidR="00000000" w:rsidRPr="00000000" w:rsidDel="00000000">
        <w:rPr>
          <w:rtl w:val="0"/>
        </w:rPr>
        <w:t xml:space="preserve"> atbalstu saskaņā ar Komisijas 2013.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mazo vidējās kapitalizācijas un vidējās kapitalizācijas saimnieciskās darbības veicēju garantijas kredīta kvalitāte ir pielīdzināma vismaz B– kredītreitingam, kas norādīts šo noteikumu pielikumā minētajai kredīta kvalitātes klasei "Maksātspēju varētu mazināt nelabvēlīgi apstākļi" atbilstoši Komisijas regulas Nr. 2023/2831 4. panta 6. punkta "a"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saimnieciskās darbības veicējiem, kuri darbojas Komisijas regulas Nr. 2023/2831 1. panta 1. punkta "a", "c" un "d" apakšpunktā minētajās nozarēs vai veic darbības, kas noteiktas Komisijas regulas Nr. 2023/2831 1. panta 1. punkta "e" un "f"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Ja saimnieciskās darbības veicējs vienlaikus darbojas vienā vai vairākās nozarēs vai veic citas darbības, kas neietilpst Komisijas regulas Nr. 2023/2831 darbības jomā, tas nodrošina šo nozaru darbību vai izmaksu nodalīšanu saskaņā ar Komisijas regulas Nr. 2023/2831 1.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kredītiestāde iekļauj finanšu pakalpojumus portfelī trīs gadus no līguma noslēgšanas ar sabiedrību "Altum". Sabiedrība "Altum" un kredītiestāde var vienoties par šā termiņa pagarināšanu, bet ne ilgāk kā par diviem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Komisijas regulas Nr. 2023/2831  2. panta 2. punktā noteiktajam vienam vienotam uzņēmumam izsniegtā </w:t>
      </w:r>
      <w:r w:rsidR="00000000" w:rsidRPr="00000000" w:rsidDel="00000000">
        <w:rPr>
          <w:i w:val="1"/>
          <w:rtl w:val="0"/>
        </w:rPr>
        <w:t xml:space="preserve">de minimis </w:t>
      </w:r>
      <w:r w:rsidR="00000000" w:rsidRPr="00000000" w:rsidDel="00000000">
        <w:rPr>
          <w:rtl w:val="0"/>
        </w:rPr>
        <w:t xml:space="preserve">atbalsta kopējā summa nedrīkst pārsniegt Komisijas regulas Nr. 2023/2831  3. panta 2. punktā noteiktos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Saimnieciskās darbības veicēja subsīdijas ekvivalentu kredītiestāde aprēķina, ievērojot Komisijas regulas Nr. 2023/2831 4. panta 6. punkta "b"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Kredītiestāde, saimnieciskās darbības veicējs un sabiedrība "Altum" ievēro Komisijas regulas Nr. 2023/2831  6. panta 4.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Ievērojot Komisijas regulas Nr. 2023/2831 5. pantā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w:t>
      </w:r>
      <w:r w:rsidR="00000000" w:rsidRPr="00000000" w:rsidDel="00000000">
        <w:rPr>
          <w:i w:val="1"/>
          <w:rtl w:val="0"/>
        </w:rPr>
        <w:t xml:space="preserve"> de minimis</w:t>
      </w:r>
      <w:r w:rsidR="00000000" w:rsidRPr="00000000" w:rsidDel="00000000">
        <w:rPr>
          <w:rtl w:val="0"/>
        </w:rPr>
        <w:t xml:space="preserve"> atbalstu līdz Komisijas regulas Nr. 2023/2831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Šādā gadījumā saimnieciskās darbības veicējs iesniedz sabiedrībai "Altum" visu informāciju par plānoto un piešķirto valsts atbalstu par tām pašām attiecināmajām izmaksām, norādot atbalsta piešķiršanas datumu, atbalsta sniedzēja nosaukumu, atbalsta pasākumu un plānoto vai piešķirto atbalsta summu un atbalsta intensitāti."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ir pārkāptas Komisijas regulas Nr. 2023/2831 prasības, atbalsta saņēmējam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Atbalstu saskaņā ar šiem noteikumiem sniedz līdz Komisijas regulas Nr. 2023/2831 7. panta 3. punktā un 8. pantā noteiktā piemērošanas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23-TA-3299</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23-TA-3299</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noteikumu_(grozījumu)_projekts_23-TA-3299.docx</dc:title>
</cp:coreProperties>
</file>

<file path=docProps/custom.xml><?xml version="1.0" encoding="utf-8"?>
<Properties xmlns="http://schemas.openxmlformats.org/officeDocument/2006/custom-properties" xmlns:vt="http://schemas.openxmlformats.org/officeDocument/2006/docPropsVTypes"/>
</file>