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janvārī (prot. Nr. 2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19. jūnija noteikumos Nr. 404 "Kārtība, kādā aprēķina un maksā dabas resursu nodokli, izsniedz dabas resursu lietošanas atļauju un auditē apsaimniekošanas sistēmas"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4. panta trešās daļas 1. un 2. punktu,</w:t>
      </w:r>
      <w:r>
        <w:br/>
      </w:r>
      <w:r w:rsidR="00000000" w:rsidRPr="00000000" w:rsidDel="00000000">
        <w:rPr>
          <w:rStyle w:val="paragraph"/>
          <w:i w:val="1"/>
          <w:rtl w:val="0"/>
        </w:rPr>
        <w:t xml:space="preserve">4. panta ceturto daļu, 12. panta otro daļu, 14. pantu, 16. panta otro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20. pantu,</w:t>
      </w:r>
      <w:r>
        <w:br/>
      </w:r>
      <w:r w:rsidR="00000000" w:rsidRPr="00000000" w:rsidDel="00000000">
        <w:rPr>
          <w:rStyle w:val="paragraph"/>
          <w:i w:val="1"/>
          <w:rtl w:val="0"/>
        </w:rPr>
        <w:t xml:space="preserve">23. panta sestās daļas 1., 2., 3. un 4. punktu, 24. panta trešās daļas 1., 2., 3., 4., 5., 6. un 7. punktu,</w:t>
      </w:r>
      <w:r>
        <w:br/>
      </w:r>
      <w:r w:rsidR="00000000" w:rsidRPr="00000000" w:rsidDel="00000000">
        <w:rPr>
          <w:rStyle w:val="paragraph"/>
          <w:i w:val="1"/>
          <w:rtl w:val="0"/>
        </w:rPr>
        <w:t xml:space="preserve">27. panta pirmās daļas 1., 2. un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19. jūnija noteikumos Nr. 404 "Kārtība, kādā aprēķina un maksā dabas resursu nodokli, izsniedz dabas resursu lietošanas atļauju un auditē apsaimniekošanas sistēmas" (Latvijas Vēstnesis, 2007, 100. nr.; 2009, 90. nr.; 2010, 67. nr.; 2013, 189. nr.; 2014, 16., 107. nr.; 2015, 147. nr.; 2016, 251. nr.; 2018, 133. nr.; 2021, 111.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Šo noteikumu 1. pielikumā norādāmo Valsts ieņēmumu dienesta izstrādāto un aktualizēto nodokļa objektu kodu sarakstu publicē Valsts ieņēmumu dienesta un Valsts vides dienesta publiskajā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Ja iekārtas operators veic C kategorijas piesārņojošas darbības nozarē, par kuru vides aizsardzības normatīvajos aktos nav noteiktu nosacījumu un nav arī iespējams aprēķināt piesārņojošo vielu apjomu, nodokļa maksājumu atbilstoši likuma 15. panta piektajai daļai norāda pārskata (1. pielikums) 10. ailē pretī rindai "gada maksājums par vides piesārņošanu"."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Nodokļa maksātājs pārskatā norādīto informāciju par aprēķināto nodokli pamato ar uzskaites dokumentiem par dabas resursu ieguves un piesārņojuma veidiem, apjomiem un limitiem, ko nodokļa maksātājs glabā trīs gadus un uzrāda pēc pieprasījuma pārbaudes laikā vai pievieno pielikumā, iesniedzot vides aizsardzības valsts statistikas pārskatus. Nodokļa aprēķinus pamato atsevišķi par katru darbību, kura reģistrēta vai kurai saņemta atļauja vai licence vai bija nepieciešams to reģistrēt vai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Valsts vides dienesta amatpersonas pārbauda dabas resursu un vides piesārņojuma uzskaiti un nodokļa aprēķinu pareizību, ņemot vērā Valsts ieņēmumu dienestā iesniegtajā pārskatā par aprēķināto dabas resursu nodokli norādītos datus par dabas resursu ieguves un lietošanas un vidē emitētā piesārņojuma veidiem un apjomiem un faktiskos dabas resursu ieguves un lietošanas un vidē emitētā piesārņojuma apjomus."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Ja nodokļa maksātājs, kurš maksā nodokli par iepakojumu un kuram atbilstoši vides aizsardzības normatīvajiem aktiem nav jāveic izlietotā iepakojuma pārstrāde un reģenerācija, nevar nodrošināt iepakojuma materiāla veida un svara pamatošanu ar uzskaites dokumentiem un saskaņā ar likumu maksā nodokli – 120 </w:t>
      </w:r>
      <w:r w:rsidR="00000000" w:rsidRPr="00000000" w:rsidDel="00000000">
        <w:rPr>
          <w:i w:val="1"/>
          <w:rtl w:val="0"/>
        </w:rPr>
        <w:t xml:space="preserve">euro</w:t>
      </w:r>
      <w:r w:rsidR="00000000" w:rsidRPr="00000000" w:rsidDel="00000000">
        <w:rPr>
          <w:rtl w:val="0"/>
        </w:rPr>
        <w:t xml:space="preserve"> gadā, viņš šo nodokļa summu norāda pārskata (1. pielikums) 6. ailē pretī rindai "gada maksājums par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Videi kaitīgu preču atkritumu, izlietotā preču vai izstrādājumu iepakojuma vai vienreiz lietojamo galda trauku un piederumu apsaimniekotājs (turpmāk – apsaimniekotājs), kura līgumpartneri nemaksā nodokli par videi kaitīgām precēm, preču vai izstrādājumu iepakojumu vai vienreiz lietojamiem galda traukiem un piederumiem, sagatavo pārskatu par videi kaitīgu preču atkritumu, izlietotā preču vai izstrādājumu iepakojuma vai vienreiz lietojamo galda trauku un piederumu apsaimniekošanu un norāda aprēķināto nodokli (turpmāk – pārskats). Pārskatu elektroniski iesniedz pārbaudei tādam apsaimniekošanas sistēmu auditoram, kas nav piedalījies pārskata sagatavošanā un nav atkarīgs no apsaimniekotāja."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92.</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2. ļauj pārliecināties par videi kaitīgu preču atkritumu, izlietotā preču vai izstrādājumu iepakojuma vai vienreiz lietojamo galda trauku un piederumu savākšanu, atpakaļ pieņemšanu, apstrādi, pārstrādi vai reģenerāciju vai izvešanu pārstrādei vai reģenerācijai uz citām valstīm (turpmāk – apsaimniekošanas sistēma) un sniedz citu nepieciešamo informāciju pēc apsaimniekošanas sistēmu auditora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92.</w:t>
      </w:r>
      <w:r w:rsidR="00000000" w:rsidRPr="00000000" w:rsidDel="00000000">
        <w:rPr>
          <w:vertAlign w:val="superscript"/>
          <w:rtl w:val="0"/>
        </w:rPr>
        <w:t xml:space="preserve">3</w:t>
      </w:r>
      <w:r w:rsidR="00000000" w:rsidRPr="00000000" w:rsidDel="00000000">
        <w:rPr>
          <w:rtl w:val="0"/>
        </w:rPr>
        <w:t xml:space="preserve">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92.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4</w:t>
      </w:r>
      <w:r w:rsidR="00000000" w:rsidRPr="00000000" w:rsidDel="00000000">
        <w:rPr>
          <w:rtl w:val="0"/>
        </w:rPr>
        <w:t xml:space="preserve"> Apsaimniekošanas sistēmu auditors mēneša laikā no pārskata saņemšanas dienas sagatavo ziņojumu par pārskata audita rezultātiem, norādot izmantotās pārbaudes metodes un procedūras. Ziņojumu apsaimniekotājam iesniedz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92.</w:t>
      </w:r>
      <w:r w:rsidR="00000000" w:rsidRPr="00000000" w:rsidDel="00000000">
        <w:rPr>
          <w:vertAlign w:val="superscript"/>
          <w:rtl w:val="0"/>
        </w:rPr>
        <w:t xml:space="preserve">6</w:t>
      </w:r>
      <w:r w:rsidR="00000000" w:rsidRPr="00000000" w:rsidDel="00000000">
        <w:rPr>
          <w:rtl w:val="0"/>
        </w:rPr>
        <w:t xml:space="preserve">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92.</w:t>
      </w:r>
      <w:r w:rsidR="00000000" w:rsidRPr="00000000" w:rsidDel="00000000">
        <w:rPr>
          <w:vertAlign w:val="superscript"/>
          <w:rtl w:val="0"/>
        </w:rPr>
        <w:t xml:space="preserve">7</w:t>
      </w:r>
      <w:r w:rsidR="00000000" w:rsidRPr="00000000" w:rsidDel="00000000">
        <w:rPr>
          <w:rtl w:val="0"/>
        </w:rPr>
        <w:t xml:space="preserve">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92.</w:t>
      </w:r>
      <w:r w:rsidR="00000000" w:rsidRPr="00000000" w:rsidDel="00000000">
        <w:rPr>
          <w:vertAlign w:val="superscript"/>
          <w:rtl w:val="0"/>
        </w:rPr>
        <w:t xml:space="preserve">7</w:t>
      </w:r>
      <w:r w:rsidR="00000000" w:rsidRPr="00000000" w:rsidDel="00000000">
        <w:rPr>
          <w:rtl w:val="0"/>
        </w:rPr>
        <w:t xml:space="preserve">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92.</w:t>
      </w:r>
      <w:r w:rsidR="00000000" w:rsidRPr="00000000" w:rsidDel="00000000">
        <w:rPr>
          <w:vertAlign w:val="superscript"/>
          <w:rtl w:val="0"/>
        </w:rPr>
        <w:t xml:space="preserve">7</w:t>
      </w:r>
      <w:r w:rsidR="00000000" w:rsidRPr="00000000" w:rsidDel="00000000">
        <w:rPr>
          <w:rtl w:val="0"/>
        </w:rPr>
        <w:t xml:space="preserve">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92.</w:t>
      </w:r>
      <w:r w:rsidR="00000000" w:rsidRPr="00000000" w:rsidDel="00000000">
        <w:rPr>
          <w:vertAlign w:val="superscript"/>
          <w:rtl w:val="0"/>
        </w:rPr>
        <w:t xml:space="preserve">7</w:t>
      </w:r>
      <w:r w:rsidR="00000000" w:rsidRPr="00000000" w:rsidDel="00000000">
        <w:rPr>
          <w:rtl w:val="0"/>
        </w:rPr>
        <w:t xml:space="preserve">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92.</w:t>
      </w:r>
      <w:r w:rsidR="00000000" w:rsidRPr="00000000" w:rsidDel="00000000">
        <w:rPr>
          <w:vertAlign w:val="superscript"/>
          <w:rtl w:val="0"/>
        </w:rPr>
        <w:t xml:space="preserve">9</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2. procesa analīzes – novērtē apsaimniekotāja vai apsaimniekošanas sistēmas dalībnieku iesniegto datu un informācijas ticamību. Auditors pamato audita izlases veidošanas kritērijus, izlasē iekļautos objektus un nodrošina, ka pārbaudāmās izlases lielums sniedz reprezentatīvus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92.</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11</w:t>
      </w:r>
      <w:r w:rsidR="00000000" w:rsidRPr="00000000" w:rsidDel="00000000">
        <w:rPr>
          <w:rtl w:val="0"/>
        </w:rPr>
        <w:t xml:space="preserve"> Apsaimniekotājs ir tiesīgs no Vides aizsardzības un reģionālās attīstības ministrijas padotībā esošas kompetentās iestādes izraudzīties tādu apsaimniekošanas sistēmu auditoru, kurš Administratīvā procesa likumā noteiktajā kārtībā saņēmis lēmumu par tiesībām veikt apsaimniekošanas sistēmas auditora pienākumus. Lai persona saņemtu lēmumu par tiesībām veikt apsaimniekošanas sistēmas auditora pienākumus, tā Vides aizsardzības un reģionālās attīstības ministrijas padotībā esošajā kompetentajā iestādē iesniedz iesniegumu un pievieno informāciju vai dokumentus, kas apliecina, ka persona atbilst šo noteikumu 92.</w:t>
      </w:r>
      <w:r w:rsidR="00000000" w:rsidRPr="00000000" w:rsidDel="00000000">
        <w:rPr>
          <w:vertAlign w:val="superscript"/>
          <w:rtl w:val="0"/>
        </w:rPr>
        <w:t xml:space="preserve">12</w:t>
      </w:r>
      <w:r w:rsidR="00000000" w:rsidRPr="00000000" w:rsidDel="00000000">
        <w:rPr>
          <w:rtl w:val="0"/>
        </w:rPr>
        <w:t xml:space="preserve"> punktā minētajai apsaimniekošanas sistēmu auditora kompetencei."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92.</w:t>
      </w:r>
      <w:r w:rsidR="00000000" w:rsidRPr="00000000" w:rsidDel="00000000">
        <w:rPr>
          <w:vertAlign w:val="superscript"/>
          <w:rtl w:val="0"/>
        </w:rPr>
        <w:t xml:space="preserve">12</w:t>
      </w:r>
      <w:r w:rsidR="00000000" w:rsidRPr="00000000" w:rsidDel="00000000">
        <w:rPr>
          <w:rtl w:val="0"/>
        </w:rPr>
        <w:t xml:space="preserve">2.3.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92.</w:t>
      </w:r>
      <w:r w:rsidR="00000000" w:rsidRPr="00000000" w:rsidDel="00000000">
        <w:rPr>
          <w:vertAlign w:val="superscript"/>
          <w:rtl w:val="0"/>
        </w:rPr>
        <w:t xml:space="preserve">12</w:t>
      </w:r>
      <w:r w:rsidR="00000000" w:rsidRPr="00000000" w:rsidDel="00000000">
        <w:rPr>
          <w:rtl w:val="0"/>
        </w:rPr>
        <w:t xml:space="preserve">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Šo noteikumu 5.</w:t>
      </w:r>
      <w:r w:rsidR="00000000" w:rsidRPr="00000000" w:rsidDel="00000000">
        <w:rPr>
          <w:vertAlign w:val="superscript"/>
          <w:rtl w:val="0"/>
        </w:rPr>
        <w:t xml:space="preserve">1</w:t>
      </w:r>
      <w:r w:rsidR="00000000" w:rsidRPr="00000000" w:rsidDel="00000000">
        <w:rPr>
          <w:rtl w:val="0"/>
        </w:rPr>
        <w:t xml:space="preserve"> punktā minēto nodokļa objektu kodu sarakstu publicē Valsts ieņēmumu dienesta un Valsts vides dienesta publiskajā tīmekļvietnē līdz 2024. gada 31. martam un izmanto, iesniedzot pārskatus par aprēķināto dabas resursu nodokli par 2024. gada 1. ceturksni."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 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23-TA-923</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23-TA-923</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noteikumu_(grozījumu)_projekts_23-TA-923.docx</dc:title>
</cp:coreProperties>
</file>

<file path=docProps/custom.xml><?xml version="1.0" encoding="utf-8"?>
<Properties xmlns="http://schemas.openxmlformats.org/officeDocument/2006/custom-properties" xmlns:vt="http://schemas.openxmlformats.org/officeDocument/2006/docPropsVTypes"/>
</file>