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septembrī (prot. Nr. 37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2.1.1. specifiskā atbalsta mērķa "Energoefektivitātes veicināšana un siltumnīcefekta gāzu emisiju samazināšana" 2.1.1.5. pasākumu "Klimata neitrāli risinājumi profesionālās izglītības iestāžu un koledžu izglītības programmās, vidē un infrastruktūrā" (turpmāk – pasākums);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finansējuma saņēmējam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Izglītības un zinātnes ministrijas profesionālās izglītības iestāžu un koledžu (turpmāk – profesionālās izglītības iestādes) infrastruktūras modernizācija un uzlabošana, ietverot arī investīcijas viedā energovadībā, videi draudzīgos ilgtermiņa apsaimniekošanas risinājumos enerģijas taupīšanai vai ieguvei no atjaunīgiem energoresursiem un videi draudzīgas izglītības iestādes darbības demonstrējumu etalonveidošanas iniciatīvās, prioritāri atbalstot darbības, kurās plānots sasniegt primārās enerģijas ietaupījumu ne mazāk kā 30 procentu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mērķgrupa ir valsts dibinātās profesionālās izglītības iestādes, kā arī šo iestāžu pedagogi un izglītojamie.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projekta iesnieguma atlases veidā vienas projekta iesnieguma atlases kārtas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Reģionālās attīstības fonda finansējumu pasākuma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līdz 2029. gada 31. decembrim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publiskās ēkas ar uzlabotu energoefektivitāti – 22 966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gada primārās enerģijas patēriņš (tai skaitā mājokļi, sabiedriskās ēkas, uzņēmumi, citi) – 56 789 MWh/gadā.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plānotais kopējais attiecināmais finansējums ir 19 140 000</w:t>
      </w:r>
      <w:r w:rsidR="00000000" w:rsidRPr="00000000" w:rsidDel="00000000">
        <w:rPr>
          <w:i w:val="1"/>
          <w:rtl w:val="0"/>
        </w:rPr>
        <w:t xml:space="preserve"> euro</w:t>
      </w:r>
      <w:r w:rsidR="00000000" w:rsidRPr="00000000" w:rsidDel="00000000">
        <w:rPr>
          <w:rtl w:val="0"/>
        </w:rPr>
        <w:t xml:space="preserve"> (no tā elastības finansējums – 3 018 862 </w:t>
      </w:r>
      <w:r w:rsidR="00000000" w:rsidRPr="00000000" w:rsidDel="00000000">
        <w:rPr>
          <w:i w:val="1"/>
          <w:rtl w:val="0"/>
        </w:rPr>
        <w:t xml:space="preserve">euro</w:t>
      </w:r>
      <w:r w:rsidR="00000000" w:rsidRPr="00000000" w:rsidDel="00000000">
        <w:rPr>
          <w:rtl w:val="0"/>
        </w:rPr>
        <w:t xml:space="preserve">), tai skaitā Eiropas Reģionālās attīstības fonda finansējums – 16 269 000 </w:t>
      </w:r>
      <w:r w:rsidR="00000000" w:rsidRPr="00000000" w:rsidDel="00000000">
        <w:rPr>
          <w:i w:val="1"/>
          <w:rtl w:val="0"/>
        </w:rPr>
        <w:t xml:space="preserve">euro</w:t>
      </w:r>
      <w:r w:rsidR="00000000" w:rsidRPr="00000000" w:rsidDel="00000000">
        <w:rPr>
          <w:rtl w:val="0"/>
        </w:rPr>
        <w:t xml:space="preserve"> (no tā elastības finansējums – 2 566 033</w:t>
      </w:r>
      <w:r w:rsidR="00000000" w:rsidRPr="00000000" w:rsidDel="00000000">
        <w:rPr>
          <w:i w:val="1"/>
          <w:rtl w:val="0"/>
        </w:rPr>
        <w:t xml:space="preserve"> euro</w:t>
      </w:r>
      <w:r w:rsidR="00000000" w:rsidRPr="00000000" w:rsidDel="00000000">
        <w:rPr>
          <w:rtl w:val="0"/>
        </w:rPr>
        <w:t xml:space="preserve">) un valsts budžeta līdzfinansējums – 2 871 000 </w:t>
      </w:r>
      <w:r w:rsidR="00000000" w:rsidRPr="00000000" w:rsidDel="00000000">
        <w:rPr>
          <w:i w:val="1"/>
          <w:rtl w:val="0"/>
        </w:rPr>
        <w:t xml:space="preserve">euro</w:t>
      </w:r>
      <w:r w:rsidR="00000000" w:rsidRPr="00000000" w:rsidDel="00000000">
        <w:rPr>
          <w:rtl w:val="0"/>
        </w:rPr>
        <w:t xml:space="preserve"> (no tā elastības finansējums – 452 829</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Eiropas Reģionālās attīstības fonda finansējuma apmērs nepārsniedz 85 procentus no projekta kopējā attiecināmā finansējuma. Pārējo finansējumu – 15 procentus no projekta kopējā attiecināmā finansējuma – veido valsts budžeta līdzfinansējums.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iesniegumā pasākuma īstenošanai kopējo pasākumam pieejamo finansējumu plāno ne vairāk kā 16 121 138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 13 702 967 </w:t>
      </w:r>
      <w:r w:rsidR="00000000" w:rsidRPr="00000000" w:rsidDel="00000000">
        <w:rPr>
          <w:i w:val="1"/>
          <w:rtl w:val="0"/>
        </w:rPr>
        <w:t xml:space="preserve">euro </w:t>
      </w:r>
      <w:r w:rsidR="00000000" w:rsidRPr="00000000" w:rsidDel="00000000">
        <w:rPr>
          <w:rtl w:val="0"/>
        </w:rPr>
        <w:t xml:space="preserve">apmērā un valsts budžeta līdzfinansējumu – 2 418 171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Izglītības un zinātnes ministrija pēc Eiropas Komisijas lēmuma par vidusposma pārskatu var ierosināt no 2026. gada 1. janvāra palielināt pasākumam pieejamo kopējo finansējumu līdz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minētajam plānotajam kopējam attiecināmā finansējuma apmēram.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pasākuma ietvaros ir tiešās pārvaldes iestāde – Valsts izglītības attīstības aģentūra. Pēc projekta iesnieguma apstiprināšanas Valsts izglītības attīstības aģentūra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Sadarbības partneri pasākumā ir Izglītības un zinātnes ministrijas profesionālās izglītības iestādes: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Aizkraukles Profesionālā vidusskola;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Daugavpils Tehnoloģiju un tūrisma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Jelgavas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Jēkabpils Tehnoloģiju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Kandavas Lauksaimniecības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Kuldīgas Tehnoloģiju un tūrisma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Ogres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Latgales Industriālais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Liepājas Valsts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profesionālās izglītības kompetences centrs "Rīgas Tehniskā koledža";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Rīgas Celtniecības koledža;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Rīgas Valsts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Rēzeknes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Rīgas Metālapstrādes profesionālā vidusskola;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Rīgas Mākslas un mediju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Rīgas Stila un modes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Rīgas Tirdzniecības profesionālā vidusskola;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Saldus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Smiltenes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Valmieras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sabiedrība ar ierobežotu atbildību "Rīgas Tūrisma un radošās industrijas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Ventspils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Vidzemes Tehnoloģiju un dizaina tehnikums.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pirms projekta iesnieguma iesniegšanas sadarbības iestādē izstrādā sadarbības līguma projektu ar sadarbības partneri par projektā sadarbības partnerim plānoto darbību īstenošanu. Sadarbības līguma projektā iekļauj informāciju atbilstoši normatīvajiem aktiem par kārtību, kādā Eiropas Savienības fondu vadībā iesaistītās institūcijas nodrošina šo fondu ieviešanu Eiropas Savienības kohēzijas politikas programmas 2021.–2027. gadam plānošanas periodā, kā arī iekļauj finansējuma saņēmēja un sadarbības partnera sadarbības nosacījumus, pienākumus un tiesības, projekta mērķu un rādītāju savstarpējās sasniegšanas dalījumu un citus nosacījumus.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pirms projekta iesnieguma iesniegšanas sadarbības iestādē sadarbības līguma projektu saskaņo ar Izglītības un zinātnes ministriju un ne vēlāk kā mēnesi pēc projekta iesnieguma apstiprināšanas slēdz rakstveida sadarbības līgumu par projektā sadarbības partnerim plānoto darbību īstenošanu. Sadarbības līgums ir projekta iesnieguma pielikums.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projekta iesniegumā iekļauj informāciju par projekta iekšējo vadības un kontroles sistēmu, informāciju par to funkciju nodalīšanu no iestādes pamatfunkciju izpildes, kuras finansējuma saņēmējs pilda projekta īstenošanā, un sadarbības regulējumu 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 kā arī apraksta, kādas darbības un uzraudzības instrumenti ir plānoti vai ieviesti finansējuma saņēmēja un sadarbības partnera iestādē šādos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plūsmas plānošana un kontrole, to uzskaites nodalīšana katra sadarbības partnera grāmatvedības uzskaitē un finanšu pārskatu ticamības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centralizētu iepirkumu organizēšana un sadarbības partneru līdzdalības nodrošināšana iepirkuma tehniskās specifikācijas izstrādē un iepirkumu organizēšanā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pārskatu (tai skaitā papildinošās saimnieciskās darbības uzraudzības pārskatu)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uzraudzības procesu pārskatāmība.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atbilstoši šajos noteikumos un projekta iesnieguma atlases nolikumā noteiktajām prasībām sagatavo ne vairāk kā vienu projekta iesniegumu un iesniedz to sadarbības iestādē, izmantojot Kohēzijas politikas fondu vadības informācijas sistēmas elektronisko vidi.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izglītības iestāžu viedas apsaimniekošanas veicināšana, tai skaitā informācijas un komunikācijas tehnoloģiju risinājumu ieviešana apsaimniekošanas procesa digitalizācijā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 un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finansējuma saņēmējam datu ieguves, uzkrāšanas un apstrādes vajadzībām;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izglītības iestāžu mācību un/vai koplietošanas infrastruktūras un saistīto inženiertīklu automatizācija un energoefektivitātes paaugstināšana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videi draudzīgu ilgtermiņa apsaimniekošanas risinājumu enerģijas taupīšanai vai ieguvei no atjaunojamiem resursiem izstrāde un ieviešana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videi draudzīgas izglītības iestādes darbības demonstrējumu etalonveidošanas iniciatīvas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datos balstītas energopārvaldības sistēmas izstrāde un ieviešana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 un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finansējuma saņēmējam datu ieguves, uzkrāšanas un apstrādes vajadzībām;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vides un informācijas piekļūstamības nodrošināšana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finansējuma saņēmējam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komunikācijas un vizuālās identitātes prasību nodrošināšanas pasākumi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finansējuma saņēmējam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vadības un īstenošanas nodrošināšana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finansējuma saņēmējam.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tiešās attiecināmās izmaksas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un/vai koplietošanas infrastruktūras apsaimniekošanas sistēmu digitalizācijas risinājumu iegādes, piegādes un uzstādīšanas izmaksas, informācijas un komunikācijas tehnoloģiju risinājumu ieviešanas izmaksas apsaimniekošanas procesa digitalizācijā (tai skaitā licenču un programmatūras lietošanas un personāla instruktāžas izmaksas)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 šo noteikumu </w:t>
      </w:r>
      <w:r w:rsidR="00000000" w:rsidRPr="00000000" w:rsidDel="00000000">
        <w:rPr>
          <w:rtl w:val="0"/>
        </w:rPr>
        <w:t xml:space="preserve">18.1. </w:t>
      </w:r>
      <w:r w:rsidR="00000000" w:rsidRPr="00000000" w:rsidDel="00000000">
        <w:rPr>
          <w:rtl w:val="0"/>
        </w:rPr>
        <w:t xml:space="preserve">apakšpunktā</w:t>
      </w:r>
      <w:r w:rsidR="00000000" w:rsidRPr="00000000" w:rsidDel="00000000">
        <w:rPr>
          <w:rtl w:val="0"/>
        </w:rPr>
        <w:t xml:space="preserve"> minēto darbību īstenošanai un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finansējuma saņēmējam datu ieguves, uzkrāšanas un apstrādes vajadzībām;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un/vai koplietošanas infrastruktūras un saistīto inženiertīklu energoefektivitātes paaugstināšanas izmaksas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 šo noteikumu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minēto darbību īstenošanai,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un/vai koplietošanas infrastruktūras un saistīto inženiertīklu energoefektivitātes paaugstināšanai nepieciešamo tehnoloģiju plānu un specifikāciju izstrādes pakalpojumu izmaksas, kas ir pamatotas un saistītas ar pasākuma ietvaros atbalstāmo darbību īstenošanu;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plānošanas un arhitektūras uzdevuma, būvniecības izmaksu tāmes, būvprojekta, būvdarbu ieceres dokumentācijas, paskaidrojuma raksta dokumentācijas, būvprojekta minimālā sastāvā un ēkas fasādes apliecinājuma kartes (turpmāk – būvprojekts) izstrādes vai esoša būvprojekta aktualizācijas izmaksas, kā arī būvprojekta ekspertīzes izmaksas, ja tās veikšana ir priekšnosacījums, lai izstrādātu būvprojektu, tai skaitā neatkarīgas būvprojekta ekspertīzes;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energosertifikācijas, tehniskās apsekošanas (kas atbilstoši periodiskās tehniskās apsekošanas prasībām veikta būves ekspluatācijas laikā saskaņā ar normatīvajiem aktiem būvju tehniskās apsekošanas būvnormatīvu jomā) un tehniskās izpētes izmaksas, ja tās nepieciešamas būvniecības dokumentācijas izstrādei;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iekšējo inženiertīklu (piemēram, iekšējo elektrotīklu, apkures sistēmu, vēdināšanas un gaisa kondicionēšanas sistēmu, ūdensvada tīklu, kanalizācijas tīklu, automātisko ugunsgrēka atklāšanas, trauksmes signalizācijas un automātiskās balss ugunsgrēka izziņošanas sistēmu) izbūves un pārbūves izmaksas un citas ar gaisa kvalitātes uzlabošanu saistītu darbību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siltumenerģijas ražošanas sistēmu un ārējo siltumenerģijas tīklu pārbūves izmaksas, tai skaitā atjaunojamos enerģijas resursus izmantojošu apkures katlu, siltumsūkņu, saules siltumenerģijas kolektoru projektēšanas, specifikāciju izstrādes un izbūves izmaksas, fosilo kurināmo izmantojošu apkures katlu demontāžas un utilizācijas izmaksas, jaunu pieslēgumu komunālajiem tīkliem izmaksas gadījumos, kad fosilo kurināmo izmantojošs apkures katls tiek demontēts;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publiskā būvdarbu līguma (kura izpildes termiņš pārsniedz vienu gadu) būvdarbu līgumcenas indeksācijas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kas saistītas ar būves nodošanu ekspluatācijā un ir noteiktas atbilstoši Ministru kabineta 2014. gada 2. septembra noteikumu Nr. 529 "Ēku būvnoteikumi" 8. nodaļai "Pieņemšana ekspluatācijā un atsevišķu darbu pabeigšana", ja tās nav paredzētas līgumā par būvdarbu veikšanu;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iesniegumu pamatojošās dokumentācijas sagatavošanas izmaksas, būvuzraudzības, autoruzraudzības, būvprojekta tehniskā projekta vai skiču projekta stadijā izmaksas, energosertifikācijas un energoaudita izmaksas, ievērojot, ka minētās izmaksas kopā ir attiecināmas līdz 10 procentu apjomā no projekta kopējām attiecināmajām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mehāniskās ventilācijas sistēmu darbības uzlabošanas izmaksas, tai skaitā klusinātāju iegādes un uzstādīšanas izmaksas, piemērotu gaisa attīrīšanas risinājumu ieviešanas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videi draudzīgu ilgtermiņa apsaimniekošanas risinājumu enerģijas taupīšanai vai ieguvei no atjaunojamiem resursiem izstrādes un ieviešanas izmaksas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 šo noteikumu </w:t>
      </w:r>
      <w:r w:rsidR="00000000" w:rsidRPr="00000000" w:rsidDel="00000000">
        <w:rPr>
          <w:rtl w:val="0"/>
        </w:rPr>
        <w:t xml:space="preserve">18.3. </w:t>
      </w:r>
      <w:r w:rsidR="00000000" w:rsidRPr="00000000" w:rsidDel="00000000">
        <w:rPr>
          <w:rtl w:val="0"/>
        </w:rPr>
        <w:t xml:space="preserve">apakšpunktā</w:t>
      </w:r>
      <w:r w:rsidR="00000000" w:rsidRPr="00000000" w:rsidDel="00000000">
        <w:rPr>
          <w:rtl w:val="0"/>
        </w:rPr>
        <w:t xml:space="preserve"> minēto darbību īstenošanai un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finansējuma saņēmējam datu ieguves, uzkrāšanas un apstrādes vajadzībām,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apgaismojuma spuldžu nomaiņas uz LED spuldzēm un gaismas sensoru uzstādīšanas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atjaunojamos energoresursus izmantojošu enerģiju ražojošu avotu iegādes un uzstādīšanas izmaksas, piemēram, izmaksas, kas saistītas ar saules enerģijas ražošanas mikroģenerācijas vai saules elektrostaciju projektēšanu, saskaņošanu un nodošanu ekspluatācijā, ievērojot, ka saražotā enerģija 100 procentu apmērā tiek izmantota pašpatēriņam;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demonstrācijas pasākumu ieviešanas izmaksas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finansējuma saņēmējam datu ieguves, uzkrāšanas un apstrādes vajadzībām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 šo noteikumu </w:t>
      </w:r>
      <w:r w:rsidR="00000000" w:rsidRPr="00000000" w:rsidDel="00000000">
        <w:rPr>
          <w:rtl w:val="0"/>
        </w:rPr>
        <w:t xml:space="preserve">18.4. </w:t>
      </w:r>
      <w:r w:rsidR="00000000" w:rsidRPr="00000000" w:rsidDel="00000000">
        <w:rPr>
          <w:rtl w:val="0"/>
        </w:rPr>
        <w:t xml:space="preserve">apakšpunktā</w:t>
      </w:r>
      <w:r w:rsidR="00000000" w:rsidRPr="00000000" w:rsidDel="00000000">
        <w:rPr>
          <w:rtl w:val="0"/>
        </w:rPr>
        <w:t xml:space="preserve"> minēto darbību īstenošanai,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vienota profesionālās izglītības iestāžu mācību un koplietošanas ēku energopārvaldības modeļa – etaloniniciatīvas ar demo potenciālu valsts un publisko ēku uzturēšanai un izmantošanai profesionālās izglītības mācību procesā un profesionālās izglītības infrastruktūras ilgtspējas nodrošināšanai resursu, funkciju un datu kontekstā – izveides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energoietilpīgu profesionālās izglītības programmu mācību vides pilnveides izmaksas energoefektīvu tehnoloģiju izmantošanai mācību procesā, lai demonstrētu izglītojamiem tehnoloģijas, kas nepieciešamas profesionālās izglītības programmu energoefektīvai apguvei un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energopārvaldības sistēmas izstrādes un ieviešanas izmaksas, tai skaitā vides aizsardzība plāna, datos balstīta energoresursu izmantojuma, ilgtspējīgas apsaimniekošanas un sistēmu apkopes plāna, atkritumu apsaimniekošanas, ūdens un citu resursu taupības pasākumu izstrādes un ieviešanas izmaksas, personāla instruktāžas izmaksas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finansējuma saņēmējam datu ieguves, uzkrāšanas un apstrādes vajadzībām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 šo noteikumu </w:t>
      </w:r>
      <w:r w:rsidR="00000000" w:rsidRPr="00000000" w:rsidDel="00000000">
        <w:rPr>
          <w:rtl w:val="0"/>
        </w:rPr>
        <w:t xml:space="preserve">18.5. </w:t>
      </w:r>
      <w:r w:rsidR="00000000" w:rsidRPr="00000000" w:rsidDel="00000000">
        <w:rPr>
          <w:rtl w:val="0"/>
        </w:rPr>
        <w:t xml:space="preserve">apakšpunktā</w:t>
      </w:r>
      <w:r w:rsidR="00000000" w:rsidRPr="00000000" w:rsidDel="00000000">
        <w:rPr>
          <w:rtl w:val="0"/>
        </w:rPr>
        <w:t xml:space="preserve"> minēto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ietvaros ir atbalstāmi tādi ēku/inženiertīklu energoefektivitātes paaugstināšanas pasākumi, kurus saskaņā ar normatīvajiem aktiem ēku energoefektivitātes aprēķina jomā paredzējis neatkarīgs eksperts ēku energoefektivitātes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vides un informācijas piekļūstamības nodrošināšanas izmaksas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finansējuma saņēmējam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 šo noteikumu </w:t>
      </w:r>
      <w:r w:rsidR="00000000" w:rsidRPr="00000000" w:rsidDel="00000000">
        <w:rPr>
          <w:rtl w:val="0"/>
        </w:rPr>
        <w:t xml:space="preserve">18.6. </w:t>
      </w:r>
      <w:r w:rsidR="00000000" w:rsidRPr="00000000" w:rsidDel="00000000">
        <w:rPr>
          <w:rtl w:val="0"/>
        </w:rPr>
        <w:t xml:space="preserve">apakšpunktā</w:t>
      </w:r>
      <w:r w:rsidR="00000000" w:rsidRPr="00000000" w:rsidDel="00000000">
        <w:rPr>
          <w:rtl w:val="0"/>
        </w:rPr>
        <w:t xml:space="preserve"> minēto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komunikācijas un vizuālās identitātes prasību nodrošināšanas pasākumi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finansējuma saņēmējam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 šo noteikumu </w:t>
      </w:r>
      <w:r w:rsidR="00000000" w:rsidRPr="00000000" w:rsidDel="00000000">
        <w:rPr>
          <w:rtl w:val="0"/>
        </w:rPr>
        <w:t xml:space="preserve">18.7. </w:t>
      </w:r>
      <w:r w:rsidR="00000000" w:rsidRPr="00000000" w:rsidDel="00000000">
        <w:rPr>
          <w:rtl w:val="0"/>
        </w:rPr>
        <w:t xml:space="preserve">apakšpunktā</w:t>
      </w:r>
      <w:r w:rsidR="00000000" w:rsidRPr="00000000" w:rsidDel="00000000">
        <w:rPr>
          <w:rtl w:val="0"/>
        </w:rPr>
        <w:t xml:space="preserve"> minēto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vadības un īstenošanas personāla (turpmāk – projekta personāls) izmaksas (izņemot virsstundas)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finansējuma saņēmējam šo noteikumu </w:t>
      </w:r>
      <w:r w:rsidR="00000000" w:rsidRPr="00000000" w:rsidDel="00000000">
        <w:rPr>
          <w:rtl w:val="0"/>
        </w:rPr>
        <w:t xml:space="preserve">18.8. </w:t>
      </w:r>
      <w:r w:rsidR="00000000" w:rsidRPr="00000000" w:rsidDel="00000000">
        <w:rPr>
          <w:rtl w:val="0"/>
        </w:rPr>
        <w:t xml:space="preserve">apakšpunktā</w:t>
      </w:r>
      <w:r w:rsidR="00000000" w:rsidRPr="00000000" w:rsidDel="00000000">
        <w:rPr>
          <w:rtl w:val="0"/>
        </w:rPr>
        <w:t xml:space="preserve"> minēto darbību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20.9. </w:t>
      </w:r>
      <w:r w:rsidR="00000000" w:rsidRPr="00000000" w:rsidDel="00000000">
        <w:rPr>
          <w:rtl w:val="0"/>
        </w:rPr>
        <w:t xml:space="preserve">apakšpunktā</w:t>
      </w:r>
      <w:r w:rsidR="00000000" w:rsidRPr="00000000" w:rsidDel="00000000">
        <w:rPr>
          <w:rtl w:val="0"/>
        </w:rPr>
        <w:t xml:space="preserve"> minētās projekta personāla izmaksas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 Nr. 2021/1060), 55. panta 1. punktu projekta iesniegumā plāno kā vienu izmaksu pozīciju, piemērojot izmaksu vienoto likmi 17 procentu apmērā no projekta tiešajām attiecināmajām izmaksām, bet neieskaitot tiešās projekta personāla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netiešās attiecināmās izmaksas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finansējuma saņēmējam plāno kā vienu izmaksu pozīciju, piemērojot netiešo izmaksu vienoto likmi 15 procentu apmērā no šo noteikumu </w:t>
      </w:r>
      <w:r w:rsidR="00000000" w:rsidRPr="00000000" w:rsidDel="00000000">
        <w:rPr>
          <w:rtl w:val="0"/>
        </w:rPr>
        <w:t xml:space="preserve">20.9. </w:t>
      </w:r>
      <w:r w:rsidR="00000000" w:rsidRPr="00000000" w:rsidDel="00000000">
        <w:rPr>
          <w:rtl w:val="0"/>
        </w:rPr>
        <w:t xml:space="preserve">apakšpunktā</w:t>
      </w:r>
      <w:r w:rsidR="00000000" w:rsidRPr="00000000" w:rsidDel="00000000">
        <w:rPr>
          <w:rtl w:val="0"/>
        </w:rPr>
        <w:t xml:space="preserve"> minētajām tiešajām attiecināmajām projekta personāla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neparedzētās izmaksas ir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minētā sadarbības partnera izmaksas, kas ir tieši vai netieši saistītas ar projekta rezultātu sasniegšanu papildus darbu veikšanai vai pakalpojumu sniegšanai un kas neparedzamu apstākļu dēļ ir kļuvušas nepieciešamas noslēgtās vienošanās par projekta īstenošanu izpildes nodrošināšanai. Projektā tās plāno kā vienu izmaksu pozīciju, kas nepārsniedz piecus procentus no projekta tiešajām attiecināmajām izmaksām. Neparedzētos izdevumus finansējuma saņēmējs saskaņo ar sadarbības iestādi kārtībā, ko nosaka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Kopīgo noteikumu regulas Nr. 2021/1060 64. panta 1. punkta "c" apakšpunktā ietvertajiem nosacījumiem, ja tas nav atgūstams atbilstoši normatīvajiem aktiem par pievienotās vērtības nodokli.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ietvaros ir attiecināmas vides prasību integrācijas izmaksas būvdarbu, preču un pakalpojumu iepirkumos (zaļais publiskais iepirkums) un vides un informācijas piekļūstamības ekspertu konsultāciju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Izmaksas, kas saskaņā ar šiem noteikumiem nav iekļaujamas kā attiecināmās izmaksas, ir finansējamas ārpus projekta.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atbalstāmo darbību izmaksu pozīcijām un ir veiktas pēc 2024. gada 1. janvāra. Projekta iesniegumā neiekļauj un finansējumu nepiešķir pabeigtām darbībām.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Lai nodrošinātu savlaicīgu inženiertehniskās priekšizpētes veikšanu un projektā plānoto enerģijas patēriņa monitorēšanas sistēmu uzstādīšanu aktuālu enerģijas patēriņa datu ieguvei un patēriņa samazinājuma pasākumu efektivitātes noteikšanai, finansējuma saņēmējs nodrošina attiecīgā publiskā iepirkuma izsludināšanu ne vēlāk kā mēneša laikā pēc šo noteikumu spēkā stāšanās dienas.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un sadarbības partneris nodrošina nepārklāšanās principu ar citiem valsts un ārvalstu finanšu atbalsta instrumentiem un dubultā finansējuma neiestāšanos projektā plānotajām atbalstāmajām darbībām.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Projekta iesniedzējs līdz projekta iesniegšanai sadarbības iestādē izstrādā iekšējās kontroles sistēmu atbilstoši Ministru kabineta 2017. gada 17. oktobra noteikumiem Nr. 630 "Noteikumi par iekšējās kontroles sistēmas pamatprasībām korupcijas un interešu konflikta riska novēršanai publiskas personas institūcijā". Iekšējās kontroles sistēmas apraksts ir projekta iesnieguma pielikums. Savukārt finansējuma saņēmējs un sadarbības partneris nodrošina, ka projekta īstenošanas laikā tiek ievēroti interešu konflikta, korupcijas un krāpšanas novēršanas nosacījumi, un paredz, ka projekta vadībā iesaistītais projekta personāls ir informēts par korupcijas un interešu konflikta novēršanas jautājumiem, krāpšanas pazīmēm un pienākumu ziņot par konstatētajām aizdomām, kā arī ir informēti par ziņotāju aizsardzību atbilstoši Trauksmes celšanas likumam, kā arī parakstījuši apliecinājumus par interešu konflikta neesību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Būvdarbu iepirkuma dokumentācijā tiek paredzēta kārtība, kā rīkoties gadījumos, kad piedāvātā līgumcena pārsniedz plānoto līgumcenu, vienlaikus nodrošinot projektā plānoto mērķu sasniegšanu.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projekta īstenošanai nepieciešamo būvdarbu un pakalpojumu iepirkumu veic saskaņā ar normatīvajiem aktiem publisko iepirkumu jomā, īstenojot atklātu, pārredzamu, nediskriminējošu un konkurenci nodrošinošu konkursa procedūru, un nodrošina vides prasību integrāciju preču un pakalpojumu iepirkumos (zaļais publiskais iepirkums), kā arī ir atbalstāms sociāli atbildīgs publiskais iepirkums un inovatīva publiskā iepirkuma piemērošana,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būvdarbu izpildītājam vai piegādātājam var paredzēt avansa maksājumu līdz 30 procentiem no būvdarbu vai piegāžu pakalpojumu līgumcenas. Lai saņemtu avansa maksājumu, būvdarbu izpildītājs vai piegādātājs finansējuma saņēmējam iesniedz Eiropas Savienībā reģistrētas kredītiestādes vai apdrošināšanas sabiedrības izsniegtu pirmā pieprasījuma avansa atmaksāšanas garantiju, kas ir vienāda ar avansa summu un ir spēkā līdz pilnīgai avansa summas atmaksai.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Projekta iesniedzējs projekta iesniegumā norāda enerģijas patēriņu (megavatstundas) pirms projekta īstenošanas. Finansējuma saņēmējam ir pienākums informēt sadarbības iestādi par enerģijas ietaupījumu (megavatstundas) trīs gadus pēc projekta īstenošanas pabeigšanas.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iesniedzējs un sadarbības partneris izpilda nepieciešamās prasības un nodrošina, ka projekts atbilst horizontālajam principam "Nenodarīt būtisku kaitējumu" un Eiropas Savienības kohēzijas politikas programmā 2021.–2027. gadam noteiktajiem Eiropas Savienības un nacionālajiem normatīvajiem aktiem vides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Lai projekta iesniedzējs varētu iesniegt projekta iesniegumu sadarbības iestādē, Izglītības un zinātnes ministrijas Profesionālās izglītības iestāžu attīstības un investīciju stratēģiju vērtēšanas un investīciju piesaistes pieteikumu vērtēšanas komisija (turpmāk – stratēģiju vērtēšanas komisija) pieņem lēmumu par projektā plānotajām darbībām, to īstenošanai indikatīvi plānoto finansējumu un plānoto darbību ietvaros sasniedzamajiem rādītājiem, prioritāri atbalstot darbības, kurās plānots sasniegt primārās enerģijas ietaupījumu ne mazāk kā 30 procentu apmērā. Šis stratēģiju vērtēšanas komisijas lēmums ir projekta iesnieguma pielikums. Lēmumu par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sadarbības partneriem atbalstāmajām darbībām, plānoto finansējumu un sasniedzamajiem rādītājiem stratēģiju vērtēšanas komisija var aktualizēt projekta īstenošanas laikā saskaņā ar finansējuma saņēmēja iesniegtajiem priekšlikumiem.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Projekta ietvaros ieguldījumi infrastruktūrā var tikt veikti, ja infrastruktūra un nekustamais īpašums, kurā par projekta īstenošanai piešķirtajiem līdzekļiem tiks veikti ieguldījumi, ir sadarbības partnera īpašumā vai arī valsts īpašumā un nodots sadarbības partnera valdījumā vai lietošanā, vai arī sadarbības partnerim uz infrastruktūru ir ilgtermiņa nomas tiesības vēl vismaz piecus gadus pēc noslēguma maksājuma veikšanas, un tās ir reģistrētas Valsts vienotajā datorizētajā zemesgrāmatā.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Projekta ietvaros netiek atbalstītas projekta darbības, kurām atbalsts ir kvalificējams kā komercdarbības atbalsts. Lai atbalsts infrastruktūrai netiktu kvalificēts kā komercdarbības atbalsts, infrastruktūrā, kuru izmanto profesionālās izglītības iestāžu vajadzībām, pamatlīdzekļu un ilgtermiņa ieguldījumu amortizācijas periodā ir pieļaujams veikt papildinošu saimniecisko darbību ne vairāk kā 20 procentu apmērā no infrastruktūras gada jaudas platības, laika vai finanšu izteiksmē un ir pieļaujams sniegt papildpakalpojumus, ievērojot,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papildinošu saimniecisko darbību saprot darbības, kas ir tieši saistītas ar infrastruktūras ekspluatāciju un ir tai nepieciešamas vai nesaraujami saistītas ar tās galveno ar saimniecisko darbību nesaistīto izmantojumu, patērējot tādu pašu resursu (piemēram, materiāli, aprīkojums, darbaspēks, pamatkapitāls) apjomu kā ar saimniecisko darbību nesaistītajām darbībām;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papildpakalpojumiem saprot tādus pakalpojumus infrastruktūrā, kurus galvenokārt izmanto tikai ar saimniecisko darbību nesaistītai darbībai un kuriem pašiem par sevi nebūtu ietekmes uz tirdzniecību un konkurenci Eiropas Savienības iekšējā tirgū;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papildinošas saimnieciskās darbības aprēķina veidu nav pieļaujams mainīt projekta īstenošanas laikā un visā projekta dzīves cikla laikā. Aprēķins veicams atbilstoši sākotnēji izvēlētajam veidam platības, laika vai finanšu izteiksmē.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projekta dzīves cikla laikā tiek konstatēts, ka ēkā, ēkas daļā vai ēku grupā, par kuru iesniegts projekta iesniegums, tiek veikta saimnieciskā darbība, kas nav uzskatāma par papildpakalpojumu, vai tiek veikta papildinoša saimnieciskā darbība, kas pārsniedz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minēto apmēru, vai tiek veikta saimnieciskā darbība, kas nav uzskatāma par papildinošu saimniecisko darbību, sadarbības partnerim proporcionāli tai gada jaudas daļai (platības, laika vai finanšu izteiksmē), par kuru kopumā ir konstatēts pārkāpums, ir pienākums atmaksāt sadarbības iestādei saņemto nelikumīgo komercdarbības atbalstu kopā ar procentiem par attiecīgo gadu no līdzekļiem, kas brīvi no komercdarbības atbalsta, saskaņā ar Komercdarbības atbalsta kontroles likuma IV vai V nodaļu.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Sadarbības iestāde saskaņā ar atbildīgās iestādes izstrādāto papildinošas saimnieciskās darbības uzraudzības metodiku nodrošina veikto investīciju atbilstības uzraudzību atbilstoši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 punktā</w:t>
      </w:r>
      <w:r w:rsidR="00000000" w:rsidRPr="00000000" w:rsidDel="00000000">
        <w:rPr>
          <w:rtl w:val="0"/>
        </w:rPr>
        <w:t xml:space="preserve"> minētajiem nosacījumiem visā projekta dzīves ciklā (25 gadi). Sadarbības partneris visā projekta dzīves ciklā katru gadu sagatavo pārskatu par papildinošas saimnieciskās darbības apjomu un nodrošina šajā punktā minēto pārskatu un aprēķinus pamatojošo dokumentu pieejamību papildinošas saimnieciskās darbības uzraudzībai. Ja sadarbības partneris konstatē, ka ir pārsniegts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minētais 20 procentu ierobežojums no infrastruktūras gada jaudas platības, laika vai finanšu izteiksmē vai ka veiktās investīcijas tiek izmantotas citai saimnieciskai darbībai, kas nav uzskatāma par papildinošu saimniecisku darbību, tas saskaņā ar civiltiesisko līgumu vai vienošanos par projekta īstenošanu noteiktajā termiņā iesniedz sadarbības iestādē ziņojumu par konstatēto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minēto nosacījumu pārkāpumu.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Finansējuma saņēmējs un sadarbības partneri: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projekta ietekmi uz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minētajiem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un uzkrāj datus par horizontālā principa rādītāju (ja attiecināms): konsultatīva rakstura pasākumu skaits par būvētās vides, IT risinājumu, IT tehnoloģiju piekļūstamību personām ar dažādiem funkcionāliem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projekta ietekmi uz horizontālo principu īstenošanu projekta īstenošanas un pēcuzraudzības laikā un ievēro šādus horizontālos 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horizontālais princips "Klimatdrošināšana";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horizontālais princips "Energoefektivitāte pirmajā vietā";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horizontālais princips "Nenodarīt būtisku kaitējumu";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42.2. </w:t>
      </w:r>
      <w:r w:rsidR="00000000" w:rsidRPr="00000000" w:rsidDel="00000000">
        <w:rPr>
          <w:rtl w:val="0"/>
        </w:rPr>
        <w:t xml:space="preserve">apakšpunktā</w:t>
      </w:r>
      <w:r w:rsidR="00000000" w:rsidRPr="00000000" w:rsidDel="00000000">
        <w:rPr>
          <w:rtl w:val="0"/>
        </w:rPr>
        <w:t xml:space="preserve"> minētajiem horizontālo principu rādītājiem vienlaikus ar informāciju par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iznākuma rādītāja vērtības sasniegšanu projektā kopā un atsevišķi pa sadarbības partneru darbībām;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sadarbības partneri katru gadu visā projekta dzīves ciklā uzkrāj datus par papildinošu saimniecisko darbību;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komunikācijas un vizuālās identitātes prasību nodrošināšanas pasākumus saskaņā ar Kopīgo noteikumu regulas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un sadarbības partneris ne retāk kā reizi sešos mēnešos savā tīmekļvietnē ievieto aktuālo informāciju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saņēmēja un sadarbības partnera pienākums ir nodrošināt projekta ietvaros īstenoto darbību rezultātu ilgtspēju vismaz piecus gadus pēc noslēguma maksājuma veikšanas, kā arī nodrošināt sasniegto rezultātu uzturēšanu un nepieciešamos līdzekļus rezultātu uzturēšanai vismaz piecus gadus pēc noslēguma maksājuma veikšanas.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24-TA-880</w:t>
    </w:r>
    <w:r>
      <w:br/>
    </w:r>
    <w:r w:rsidR="00000000" w:rsidRPr="00000000" w:rsidDel="00000000">
      <w:rPr>
        <w:rtl w:val="0"/>
      </w:rPr>
      <w:t xml:space="preserve">Izdrukāts 29.07.2026. 21.26 - 2.0.VK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24-TA-880</w:t>
    </w:r>
    <w:r>
      <w:br/>
    </w:r>
    <w:r w:rsidR="00000000" w:rsidRPr="00000000" w:rsidDel="00000000">
      <w:rPr>
        <w:rtl w:val="0"/>
      </w:rPr>
      <w:t xml:space="preserve">Izdrukāts 29.07.2026. 21.26 - 2.0.VK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noteikumu_projekts_24-TA-880.docx</dc:title>
</cp:coreProperties>
</file>

<file path=docProps/custom.xml><?xml version="1.0" encoding="utf-8"?>
<Properties xmlns="http://schemas.openxmlformats.org/officeDocument/2006/custom-properties" xmlns:vt="http://schemas.openxmlformats.org/officeDocument/2006/docPropsVTypes"/>
</file>