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"Noteikumi par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Eiropas Savienības Atveseļošanas un noturības mehānisma plāna 3.1.2. reformas “Sociālo un nodarbinātības pakalpojumu pieejamība minimālo ienākumu reformas atbalstam” 3.1.2.1.i. investīcijas “Publisko pakalpojumu un nodarbinātības pieejamības veicināšanas pasākumi cilvēkiem ar funkcionāliem traucējumiem” pirmās kārtas “Valsts un pašvaldību ēku vides pieejamības nodrošināšanas pasākumi” (turpmāk - pasākums)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Atbalstīt pasākuma projekta īstenošanai nepieciešamo pievienotās vērtības nodokļa līdz 326 340  </w:t>
      </w:r>
      <w:r w:rsidR="00000000" w:rsidRPr="00000000" w:rsidDel="00000000">
        <w:rPr>
          <w:i w:val="1"/>
          <w:rtl w:val="0"/>
        </w:rPr>
        <w:t xml:space="preserve">euro</w:t>
      </w:r>
      <w:r w:rsidR="00000000" w:rsidRPr="00000000" w:rsidDel="00000000">
        <w:rPr>
          <w:rtl w:val="0"/>
        </w:rPr>
        <w:t xml:space="preserve"> apmērā segšanu no valsts budžeta līdzekļiem.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Finansējumu pasākuma īstenošanai pārdalīt no budžeta resora “74.Gadskārtējā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22-TA-438</w:t>
    </w:r>
    <w:r>
      <w:br/>
    </w:r>
    <w:r w:rsidR="00000000" w:rsidRPr="00000000" w:rsidDel="00000000">
      <w:rPr>
        <w:rtl w:val="0"/>
      </w:rPr>
      <w:t xml:space="preserve">Izdrukāts 29.07.2026. 22.09 - 2.0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mk_sēdes_protokollēmuma_projekts_22-TA-438.docx</dc:title>
</cp:coreProperties>
</file>

<file path=docProps/custom.xml><?xml version="1.0" encoding="utf-8"?>
<Properties xmlns="http://schemas.openxmlformats.org/officeDocument/2006/custom-properties" xmlns:vt="http://schemas.openxmlformats.org/officeDocument/2006/docPropsVTypes"/>
</file>