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 6. un 13.</w:t>
      </w:r>
      <w:r w:rsidR="00000000" w:rsidRPr="00000000" w:rsidDel="00000000">
        <w:rPr>
          <w:rStyle w:val="paragraph"/>
          <w:i w:val="1"/>
          <w:rtl w:val="0"/>
        </w:rPr>
        <w:t xml:space="preserve"> </w:t>
      </w:r>
      <w:r w:rsidR="00000000" w:rsidRPr="00000000" w:rsidDel="00000000">
        <w:rPr>
          <w:rStyle w:val="paragraph"/>
          <w:i w:val="1"/>
          <w:rtl w:val="0"/>
        </w:rPr>
        <w:t xml:space="preserve">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(Latvijas Vēstnesis, 2023,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"4.2.1.2. jaunu vai modernizētu sociālās aprūpes iestāžu (izņemot sociālo mājokļu) kapacitāte – 112;".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rezultāta rādītājs – personu skaits, kuras izmanto jaunu vai modernizētu sociālās aprūpes iestāžu pakalpojumus, – gadā 112."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plānotais un pieejamais kopējais attiecināmais finansējums ir 26 121 308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22 203 111 </w:t>
      </w:r>
      <w:r w:rsidR="00000000" w:rsidRPr="00000000" w:rsidDel="00000000">
        <w:rPr>
          <w:i w:val="1"/>
          <w:rtl w:val="0"/>
        </w:rPr>
        <w:t xml:space="preserve">euro </w:t>
      </w:r>
      <w:r w:rsidR="00000000" w:rsidRPr="00000000" w:rsidDel="00000000">
        <w:rPr>
          <w:rtl w:val="0"/>
        </w:rPr>
        <w:t xml:space="preserve">un valsts budžeta līdzfinansējums – 3 918 197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nodrošināt, ka šo noteikumu 13.1. apakšpunktā minētajā informatīvā un konsultatīvā atbalsta sniegšanā piedalās to valsts sociālās aprūpes centru filiāļu speciālisti, kuri ikdienā nodrošina ilgstošas sociālās aprūpes un sociālās rehabilitācijas pakalpojumu šo noteikumu 3. punktā minētajai mērķa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valsts sociālās aprūpes centram, kurš sniegs pakalpojumu izveidotajā infrastruktūrā, – reģistrēt ģimeniskai videi pietuvinātu sociālo pakalpojumu sociālo pakalpojumu sniedzēju reģistrā atbilstoši normatīvajiem aktiem par sociālo pakalpojumu sniedzēju reģistrēšanu."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14.6.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vertAlign w:val="superscript"/>
          <w:rtl w:val="0"/>
        </w:rPr>
        <w:t xml:space="preserve">1</w:t>
      </w:r>
      <w:r w:rsidR="00000000" w:rsidRPr="00000000" w:rsidDel="00000000">
        <w:rPr>
          <w:rtl w:val="0"/>
        </w:rPr>
        <w:t xml:space="preserve"> sabiedrības informēšanas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iepirkumu līgumu izmaksas šo noteikumu 14. punktā minēto atbalstāmo darbību īstenošanai, ņemot vērā, ka iepirkumu līgumu izmaksas šo noteikumu 14.6.  un 14.6.</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piemēro, ja pakalpojuma sniedzēju piesaista komunikācijas un vizuālās identitātes prasību nodrošināšanai un sabiedrības informēšanai, bet šo noteikumu 14.7. apakšpunktā minētās atbalstāmās darbības īstenošanai, ja pakalpojuma sniedzēju piesaista projekta vadības un īstenošanas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teritorijas labiekārtošanai izmaksas plāno tādā apmērā, lai izveidotu teritoriju atpūtas un brīvā laika pavadīšanai, rehabilitācijai un rekreācijai, nodrošinātu vides piekļūstamību šo noteikumu 3. punktā minētajām mērķa grupas personām un citiem teritorijas un būves lietotājiem, paredzētu piekļuvi zemes vienībai, uz kuras tiek veidota ģimeniskai videi pietuvinātā pakalpojuma infrastruktūra, ietverot arī servitūta ceļa nodibināšanu un būvniecību un funkcionāli nepieciešamo inženiertehnisko apgādi arī ārpus ministrijas valdījumā esošās zemes vienības, kā arī lai atbilstoši normatīvajiem aktiem būvniecības jomā nodrošinātu būves nodošanu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infrastruktūras izveidi šo noteikumu 3. punktā minētās mērķa grupas personām atbilstoši būvniecības jomā noteiktajiem normatīvajiem aktiem, ietverot šo noteikumu 18.3. apakšpunktā minēto teritorijas labiekārtošanu, vides piekļūstamību, piekļuvi zemes vienībai, uz kuras tiek veidota ģimeniskai videi pietuvinātā pakalpojuma infrastruktūra, un funkcionāli nepieciešamo inženiertehnisko apgādi;".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14.6.</w:t>
      </w:r>
      <w:r w:rsidR="00000000" w:rsidRPr="00000000" w:rsidDel="00000000">
        <w:rPr>
          <w:vertAlign w:val="superscript"/>
          <w:rtl w:val="0"/>
        </w:rPr>
        <w:t xml:space="preserve">1</w:t>
      </w:r>
      <w:r w:rsidR="00000000" w:rsidRPr="00000000" w:rsidDel="00000000">
        <w:rPr>
          <w:rtl w:val="0"/>
        </w:rPr>
        <w:t xml:space="preserve"> apakšpunktā minēto atbalstāmo darbību īsteno finansējuma saņēmējs, ja nepieciešams, sadarbojoties ar šo noteikumu 12. punktā  minētajiem sadarbības partneriem un īstenojot iepirkumu līgumus."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nodibina darba tiesiskās attiecības ar projekta vadības un īstenošanas personālu vai piesaista pakalpojuma sniedzēju šo noteikumu 30.2. apakšpunktā minētajā kārtībā. Paredzot projekta vadības un īstenošanas personāla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30.4.2.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"30.4.2. parakstījuši apliecinājumus par interešu konflikta neesību saskaņā ar Eiropas Parlamenta un Padomes 2024. gada 23. septembra Regulas (ES, Euratom) 2024/2509 par finanšu noteikumiem, ko piemēro Savienības vispārējam budžetam (pārstrādāta redakcija) (turpmāk – regula 2024/2509), 61. pantu un publisko iepirkumu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"30.5. nodrošina, ka šo noteikumu 16.2.2. un 18.2. apakšpunktā minētās žūrijas komisijas dalībnieki pirms metu konkursa pieteikuma izvērtēšanas paraksta apliecinājumu, ka nav saistīti ar labuma guvēju likuma "Par interešu konflikta novēršanu valsts amatpersonu darbībā" izpratnē un regulas 2024/2509 61. panta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"30.6. novērš dubultfinansēšanas riskus un nodrošina, ka projekta ietvaros atbalstāmās darbības un to izmaksas netiek finansētas, kā arī tās nav plānots finansēt no citiem valsts, pašvaldības vai ārvalstu finanšu palīdzības instrumentiem;".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"30.11. nodrošina, ka nekustamais īpašums, uz kura plānots būvēt ēku, kas paredzēta ģimeniskai videi pietuvināta pakalpojuma izveidei, ir Labklājības ministrijas valdījumā vai līdz projekta īstenošanas beigām tiks nostiprināts zemesgrāmatā uz valsts vārda Labklājības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30.11.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"30.11.</w:t>
      </w:r>
      <w:r w:rsidR="00000000" w:rsidRPr="00000000" w:rsidDel="00000000">
        <w:rPr>
          <w:vertAlign w:val="superscript"/>
          <w:rtl w:val="0"/>
        </w:rPr>
        <w:t xml:space="preserve">1</w:t>
      </w:r>
      <w:r w:rsidR="00000000" w:rsidRPr="00000000" w:rsidDel="00000000">
        <w:rPr>
          <w:rtl w:val="0"/>
        </w:rPr>
        <w:t xml:space="preserve"> nodrošina, ka  projekta īstenošanai piešķirtie līdzekļi, kas paredzēti, lai izveidotu piekļuvi šo noteikumu 30.11. apakšpunktā minētajam īpašumam, tostarp nodrošinātu servitūta ceļa nodibināšanu un būvniecību un funkcionāli nepieciešamo inženiertehnisko apgādi, tiek ieguldīti saskaņā ar pareizas finanšu pārvaldības principu, ievērojot saimnieciskuma, lietderības un efektivitātes principus;".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24-TA-2653</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24-TA-2653</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noteikumu_(grozījumu)_projekts_24-TA-2653.docx</dc:title>
</cp:coreProperties>
</file>

<file path=docProps/custom.xml><?xml version="1.0" encoding="utf-8"?>
<Properties xmlns="http://schemas.openxmlformats.org/officeDocument/2006/custom-properties" xmlns:vt="http://schemas.openxmlformats.org/officeDocument/2006/docPropsVTypes"/>
</file>