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Anda Pura pārcelšanu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trešo daļu un </w:t>
      </w:r>
      <w:r w:rsidR="00000000" w:rsidRPr="00000000" w:rsidDel="00000000">
        <w:rPr>
          <w:rtl w:val="0"/>
        </w:rPr>
        <w:t xml:space="preserve">37. panta</w:t>
      </w:r>
      <w:r w:rsidR="00000000" w:rsidRPr="00000000" w:rsidDel="00000000">
        <w:rPr>
          <w:rtl w:val="0"/>
        </w:rPr>
        <w:t xml:space="preserve"> pirmo un trešo daļu labas pārvaldības nodrošināšanai valsts interesēs, kā arī ievērojot Anda Pura atbilstību Valsts meža dienesta ģenerāldirektora amata aprakstā izvirzītajām prasībām un A. Pura piekrišanu pārcelšanai, apstiprināt Zemkopības ministrijas Meža departamenta direktora A. Pura kandidatūru pārcelšanai Valsts meža dienesta ģenerāldirektora amatā ar 2024. gada 11. novembri.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24-TA-2677</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24-TA-2677</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rīkojuma_projekts_24-TA-2677.docx</dc:title>
</cp:coreProperties>
</file>

<file path=docProps/custom.xml><?xml version="1.0" encoding="utf-8"?>
<Properties xmlns="http://schemas.openxmlformats.org/officeDocument/2006/custom-properties" xmlns:vt="http://schemas.openxmlformats.org/officeDocument/2006/docPropsVTypes"/>
</file>