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Sodu reģistra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 </w:t>
      </w:r>
      <w:r w:rsidR="00000000" w:rsidRPr="00000000" w:rsidDel="00000000">
        <w:rPr>
          <w:rStyle w:val="paragraph"/>
          <w:rtl w:val="0"/>
        </w:rPr>
        <w:t xml:space="preserve">Sodu reģistra likumā</w:t>
      </w:r>
      <w:r w:rsidR="00000000" w:rsidRPr="00000000" w:rsidDel="00000000">
        <w:rPr>
          <w:rStyle w:val="paragraph"/>
          <w:rtl w:val="0"/>
        </w:rPr>
        <w:t xml:space="preserve">  (Latvijas Vēstnesis, 2013, 211. nr.; 2020, 98.B nr.; 2022, 85.A nr.)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Izslēgt VI nodaļu.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b w:val="1"/>
          <w:rtl w:val="0"/>
        </w:rPr>
        <w:t xml:space="preserve"> </w:t>
      </w:r>
      <w:r w:rsidR="00000000" w:rsidRPr="00000000" w:rsidDel="00000000">
        <w:rPr>
          <w:rtl w:val="0"/>
        </w:rPr>
        <w:t xml:space="preserve">Papildināt pārejas noteikumus ar 10. punktu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"10. Šā likuma grozījumi par VI nodaļas izslēgšanu stājas spēkā vienlaikus ar grozījumiem Administratīvās atbildības likumā, kuri paredz regulējumu attiecībā uz administratīvā pārkāpuma procesu elektroniskā vidē."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Tieslietu ministra pienākumu izpildītājs ‒ iekšlietu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 Kozlovskis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21-TA-269</w:t>
    </w:r>
    <w:r>
      <w:br/>
    </w:r>
    <w:r w:rsidR="00000000" w:rsidRPr="00000000" w:rsidDel="00000000">
      <w:rPr>
        <w:rtl w:val="0"/>
      </w:rPr>
      <w:t xml:space="preserve">Izdrukāts 30.07.2026. 00.28 - 1.0.VK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21-TA-269</w:t>
    </w:r>
    <w:r>
      <w:br/>
    </w:r>
    <w:r w:rsidR="00000000" w:rsidRPr="00000000" w:rsidDel="00000000">
      <w:rPr>
        <w:rtl w:val="0"/>
      </w:rPr>
      <w:t xml:space="preserve">Izdrukāts 30.07.2026. 00.28 - 1.0.VK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likumprojekts_(grozījumi)_21-TA-269.docx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