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februārī (prot. Nr. 6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 Kohēzijas fonda 2014.–2020. gada plānošanas perioda vadības likuma 20.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9.3.1. specifiskā atbalsta mērķa "Attīstīt pakalpojumu infrastruktūru bērnu aprūpei ģimeniskā vidē un personu ar invaliditāti neatkarīgai dzīvei un integrācijai sabiedrībā" 9.3.1.3. pasākumu "Sabiedrībā balstītu sociālo pakalpojumu infrastruktūras attīstība Rīgas valstspilsētā"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sabiedrībā balstītu sociālo pakalpojumu infrastruktūras izveide un attīstība Rīgas valstspilsētas pašvaldībā.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pilngadīgas personas ar garīga rakstura traucējumiem, kuras no valsts finansētām ilgstošas sociālās aprūpes un sociālās rehabilitācijas institūcijām pāriet uz dzīvi sabiedrībā, kā arī pilngadīgas personas ar garīga rakstura traucējumiem, kuras potenciāli var nonākt valsts ilgstošas aprūpes institūcijā un kurām ir noteikta smaga vai ļoti smaga invaliditāte (I vai II invaliditātes grupa).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2023. gada 31. decembrim sasniedzams šāds uzraudzības (iznākuma) rādītājs – izveidoto un labiekārtoto vietu skaits sabiedrībā balstītu sociālo pakalpojumu sniegšanai personām ar garīga rakstura traucējumiem un bērniem ar funkcionāliem traucējumiem – 36.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plānotais kopējais attiecināmais finansējums ir 2 600 000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480 886 </w:t>
      </w:r>
      <w:r w:rsidR="00000000" w:rsidRPr="00000000" w:rsidDel="00000000">
        <w:rPr>
          <w:i w:val="1"/>
          <w:rtl w:val="0"/>
        </w:rPr>
        <w:t xml:space="preserve">euro</w:t>
      </w:r>
      <w:r w:rsidR="00000000" w:rsidRPr="00000000" w:rsidDel="00000000">
        <w:rPr>
          <w:rtl w:val="0"/>
        </w:rPr>
        <w:t xml:space="preserve">, valsts budžeta virssaistību finansējums 782 851 </w:t>
      </w:r>
      <w:r w:rsidR="00000000" w:rsidRPr="00000000" w:rsidDel="00000000">
        <w:rPr>
          <w:i w:val="1"/>
          <w:rtl w:val="0"/>
        </w:rPr>
        <w:t xml:space="preserve">euro </w:t>
      </w:r>
      <w:r w:rsidR="00000000" w:rsidRPr="00000000" w:rsidDel="00000000">
        <w:rPr>
          <w:rtl w:val="0"/>
        </w:rPr>
        <w:t xml:space="preserve">un nacionālais publiskais līdzfinansējums – 1 336 263 </w:t>
      </w:r>
      <w:r w:rsidR="00000000" w:rsidRPr="00000000" w:rsidDel="00000000">
        <w:rPr>
          <w:i w:val="1"/>
          <w:rtl w:val="0"/>
        </w:rPr>
        <w:t xml:space="preserve">euro </w:t>
      </w:r>
      <w:r w:rsidR="00000000" w:rsidRPr="00000000" w:rsidDel="00000000">
        <w:rPr>
          <w:rtl w:val="0"/>
        </w:rPr>
        <w:t xml:space="preserve">(tai skaitā valsts budžeta finansējums 27 296 </w:t>
      </w:r>
      <w:r w:rsidR="00000000" w:rsidRPr="00000000" w:rsidDel="00000000">
        <w:rPr>
          <w:i w:val="1"/>
          <w:rtl w:val="0"/>
        </w:rPr>
        <w:t xml:space="preserve">euro</w:t>
      </w:r>
      <w:r w:rsidR="00000000" w:rsidRPr="00000000" w:rsidDel="00000000">
        <w:rPr>
          <w:rtl w:val="0"/>
        </w:rPr>
        <w:t xml:space="preserve">, valsts budžeta dotācija pašvaldībām 16 972 </w:t>
      </w:r>
      <w:r w:rsidR="00000000" w:rsidRPr="00000000" w:rsidDel="00000000">
        <w:rPr>
          <w:i w:val="1"/>
          <w:rtl w:val="0"/>
        </w:rPr>
        <w:t xml:space="preserve">euro </w:t>
      </w:r>
      <w:r w:rsidR="00000000" w:rsidRPr="00000000" w:rsidDel="00000000">
        <w:rPr>
          <w:rtl w:val="0"/>
        </w:rPr>
        <w:t xml:space="preserve">un pašvaldību finansējums 1 291 995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maksimālais attiecināmais Eiropas Reģionālās attīstības fonda finansējuma apmērs nepārsniedz 18,5 procentus no kopējā projektu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radušās izmaksas ir attiecināmas, ja tās atbilst šajos noteikumos minētajām izmaksu pozīcijām un ir radušās no 2021. gada 28. septembra.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projekta iesniedzējs ir Rīgas valstspilsētas pašvaldība vai tās izveidota iestāde, kas pilda pašvaldības deleģētos pārvaldes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Projektu sagatavo un iesniedz saskaņā ar projektu iesniegumu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viena mēneša laikā pēc projekta iesnieguma iesniegšanas.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izstrāde, izņemot projekta iesnieguma izstrādi;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būvju būvniecība, esošu būvju pārbūve vai atjaunošana, tai skaitā būvekspertīze, būvuzraudzība, autoruzraudzība un teritorijas labiekārtošana;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materiāltehniskā nodrošinājuma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informācijas un publicitātes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ietvaros ir atbalstāma vides prasību integrācija preču un pakalpojumu un būvdarbu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šādus izmaksu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15.1.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atlīdzības izmaksas – projekta vadības personāla atlīdzības izmaksas, kas tiek noteiktas kā fiksēta summa, piemērojot šo noteikumu 17. punktā minētos nosacījumus. Projekta vadības personāla atlīdzības izmaksas ietver atalgojumu un darba devēja valsts sociālās apdrošināšanas obligātās iemaksas, pabalstus un kompensācijas atbilstoši Valsts un pašvaldību institūciju amatpersonu un darbinieku atlīdzības likumā noteiktajam, izņemot virsstundas. Ja projekta vadības personāla iesaiste projektā ir nodrošināta saskaņā ar daļlaika attiecināmības principu, attiecināma ir ne mazāk kā 30 procentu noslodze no normālā darba laika;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 – pakalpojumu (uzņēmuma līgumu) izmaksas šo noteikumu 13.1., 13.2. un 13.3. apakšpunktā minētās atbalstāmās darbības īstenošanai un šo noteikumu 13.4. apakšpunktā minētās atbalstāmās darbības īstenošanai, ja informācijas un publicitātes pasākumu īstenošanai ir nepieciešams piesaistīt pakalpojumu sniedzēju.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16.1. apakšpunktā minētā projekta vadības personāla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24 426 </w:t>
      </w:r>
      <w:r w:rsidR="00000000" w:rsidRPr="00000000" w:rsidDel="00000000">
        <w:rPr>
          <w:i w:val="1"/>
          <w:rtl w:val="0"/>
        </w:rPr>
        <w:t xml:space="preserve">euro </w:t>
      </w:r>
      <w:r w:rsidR="00000000" w:rsidRPr="00000000" w:rsidDel="00000000">
        <w:rPr>
          <w:rtl w:val="0"/>
        </w:rPr>
        <w:t xml:space="preserve">gadā. Tām var pieskaitīt 0,64 procentus no projekta tiešajām attiecināmajām izmaksām, kas neietver projekta tiešās personāla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nepārsniedz aprēķināto maksimālo izmaksu ierobežojumu gadā, tiek reizinātas ar projekta īstenošanas gadu skaitu. Ja projekta īstenošanas laiks ilgst mazāk nekā 12 kalendāra mēnešus, šā gada izmaksu ierobežojumu aprēķina proporcionāli projekta īstenošanas kalendāra mēnešu skaitam.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16.2. apakšpunktā minēto pakalpojumu (uzņēmuma līgumu) attiecināmajām izmaksām papildus piemēro šādus attiecināšanas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sagatavošanai (izņemot projekta iesnieguma sagatavošanas izmaksas), lai  īstenotu šo noteikumu 13.1. apakšpunktā minēto atbalstāmo darbību, un būvuzraudzībai, autoruzraudzībai un būvekspertīzei, lai  īstenotu šo noteikumu 13.2. apakšpunktā minēto atbalstāmo darbību, var plānot izmaksas, kas kopā nepārsniedz 10 procentus no projekta kopējām attiecināmajām izmaksām. Būvuzraudzības, autoruzraudzības un būvniecības jomas normatīvajos aktos noteiktās dokumentācijas izstrādes izmaksas ir attiecināmas līdz 10 procentiem no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labiekārtošanai plāno tādas izmaksas, lai atbilstoši normatīvajiem aktiem būvniecības jomā varētu nodrošināt būves nodošanu ekspluatācijā, kā arī vides un informācijas pieejamību šo noteikumu 3. punktā minētajām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informācijas un publicitātes pasākumiem šo noteikumu 13.4. apakšpunktā minētās atbalstāmās darbības īstenošanai plāno izmaksas, kas nepārsniedz divus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iegādes izmaksas šo noteikumu 15.1. apakšpunktā minētajam personālam jaunu darba vietu radīšanai vai esošo darba vietu atjaunošanai plāno ne vairāk kā 3 000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šo noteikumu 13.1. apakšpunktā minētais personāls ir nodarbināts normālu darba laiku, darba vietas aprīkojuma iegādes izmaksas ir attiecināmas 100 procentu apmērā. Ja šo noteikumu 13.1. apakšpunktā minētais personāls ir nodarbināts nepilnu darba laiku vai saskaņā ar daļlaika attiecināmības principu, darba vietas aprīkojuma iegādes izmaksas ir attiecināmas proporcionāli slodzes procentuālajam sadalījumam.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15.2. apakšpunktā minētās projekta netiešās attiecināmās izmaksas finansējuma saņēmējs projektā var plānot kā vienu izmaksu pozīciju, piemērojot netiešo izmaksu vienoto likmi 15 procentu apmērā no šo noteikumu 15.1. apakšpunktā minētajām izmaksām, ko aprēķina tikai tām izmaksām, kas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15.3. apakšpunktā minētās neparedzētās izmaksas projektā var plānot kā vienu izmaksu pozīciju, kas nepārsniedz piecus procentus no šo noteikumu 15.1. apakšpunktā minētajām kopējām projekta tiešajām attiecināmajām izmaksām, un tās var izmantot šo noteikumu 15.1. un 15.2. apakšpunktā minēto izmaksu segšanai. Neparedzēto izmaksu izlietošanu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šo noteikumu 15.1. un 15.2. apakšpunktā minēto izmaksu pievienotās vērtības nodokļa izmaksas ir attiecināmas, ja tās nav atgūstamas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15.4. apakšpunktā minētās neattiecināmās izmaksas, kuras finansējuma saņēmējs sedz no saviem līdzekļiem, ir izmaksas, kas pārsniedz šo noteikumu 17., 18. un 20. punktā noteiktos izmaksu ierobežojumus.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Pēc tam kad noslēgta vienošanās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finansējuma, valsts budžeta finansējuma, valsts budžeta dotācijas pašvaldībai un valsts budžeta virssaistību kopsummas. Avansu var izmaksāt vairākos maksājumos.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var pretendēt uz atbalstu pasākumā, ja nekustamais īpašums, kurā par projekta īstenošanai piešķirtajiem līdzekļiem tiks veikti ieguldījumi, ir finansējuma saņēmēja vai finansējuma saņēmēja kontrolētas kapitālsabiedrības īpašumā. Ja nekustamais īpašums ir finansējuma saņēmēja kontrolētas kapitālsabiedrības īpašumā, tad finansējuma saņēmējam lietošanas tiesības ir uz termiņu, kas nav īsāks par pieciem gadiem no dienas, kad veikts projekta noslēguma maksājums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13.1. apakšpunktā minēto atbalstāmo darbību īsteno finansējuma saņēmēja piesaistīts pakalpojuma sniedzējs, kas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būvniecības jomas normatīvajos aktos noteiktās dokumentācijas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energoefektivitātes novērtēšanu, ja tas nepieciešams būvniecības jomas normatīvajos aktos noteiktās dokumentācijas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projekta īstenošanai nepieciešamās pamatojošās dokumentācijas izstrādi, ja tas nepieciešams šo noteikumu 13.2. apakšpunktā minēto atbalstāmo darbību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13.2. apakšpunktā minētās atbalstāmās darbības ietvaros finansējuma saņēmēja piesaistīts pakalpojuma sniedzējs izveido grupu mājas (dzīvokļus) ar 16 pakalpojuma sniegšanas vietām un dienas aprūpes centru ar 20 pakalpojuma sniegšanas vietām šo noteikumu 3. punktā minētajām mērķa grupas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šo noteikumu 13.2. apakšpunktā minēto atbalstāmo darbību, finansējuma saņēmējs vai finansējuma saņēmēja piesaistīts pakalpojuma sniedzējs nodrošina, ka papildus būvniecības jomas normatīvajos aktos noteiktajām prasībām tiek sniegtas vides pieejamības ekspertu konsultācijas un veiktas specifiskas darbības vides un informācijas pieejamības nodrošināšanai personām 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redzes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dzirdes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kustību un pārvietošanās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garīga rakstura traucējumiem.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27. punktā minētās vides pieejamības konsultācijas un specifiskās darbības vides un informācijas pieejamībai var nodrošināt arī šo noteikumu 13.1. vai 13.3. apakšpunktā minētās atbalstāmās darbības īstenošanas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Sagatavojot šo noteikumu 11. apakšpunktā minēto projekta iesniegumu un plānojot tajā būvobjekta teritorijas labiekārtošanas izmaksas, norāda darbu pozīcijas, kas attiecas uz teritorijas labiekārtošanu un vides un informācijas pieejamības nodrošināšanu šo noteikumu 3. punktā minētajām mērķa grupas personām, un pamato to nepieciešamību.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projekta iesniegumā norāda būves enerģijas patēriņu (megavatstundās) pirms projekta īstenošanas, kā arī informē sadarbības iestādi par enerģijas patēriņu (megavatstundās) pēc projekta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13.3. apakšpunktā minētās atbalstāmās darbības īstenošanai finansējuma saņēmēja piesaistīts pakalpojuma sniedzējs iegādājas telpu aprīkošanai nepieciešamo materiāltehnisko nodrošinājumu, tai skaitā mēbeles, datorus un datorprogrammatūru, tehniskos palīglīdzekļus un citas nepieciešamās ierīces un materiālus grupu mājas (dzīvokļu) un dienas aprūpes centra pakalpojumu sniegšanai.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ietvaros nav atbalstāma fosilo energoresursu tehnoloģiju uzstādīšana.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projektā plānotie darbi attiecībā uz šo noteikumu 3. punktā minētajām mērķa grupas personām netiek finansēti vai līdzfinansēti, kā arī tos nav plānots finansēt vai līdzfinansēt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nodibina darba tiesiskās attiecības ar projekta vadības personālu un, paredzot tam šo noteikumu 16.1. apakšpunktā minētās izmaksas, nodrošina, ka personāls tiek piesaistīts normālu vai nepilnu darba laiku (atlīdzībai var piemērot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piesaista pakalpojuma sniedzējus atbilstoši Publisko iepirkumu likumam, īstenojot atklātu, pārredzamu, nediskriminējošu un konkurenci nodrošinošu konkursa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(uzņēmuma) līgumos avansa maksājumus var paredzēt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13.2. un 13.3. apakšpunktā minēto atbalstāmo darbību īstenošanu nodrošina atbilstoši normatīvajiem aktiem par prasībām sociālo pakalpojumu sniedzējiem;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13.4. apakšpunktā minētos informācijas un publicitātes pasākumus nodrošina atbilstoši Eiropas Parlamenta un Padomes 2013. gada 17. decembra Regulai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kā arī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šādu horizontālā principa "Vienlīdzīgas iespējas" horizontālo rādītāju – objektu skaits, kuros Eiropas Reģionālās attīstības fonda ieguldījumu rezultātā ir nodrošināta vides un informācijas pieejamība;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noteiktajā projekta pārskata periodā (projekta dzīves cikla laikā) paredzēts mainīt sabiedrībā balstītu sociālo pakalpojumu infrastruktūras izmantošanas nosacījumus un tā rezultātā projekta darbības būs saistītas ar saimniecisko darbību, kurai sniegtais atbalsts būtu kvalificējams kā komercdarbības atbalsts, iesniedz sadarbības iestādē informāciju par plānotajām izmaiņām;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projekta rezultātu ilgtspēju vismaz piecus gadus pēc noslēguma maksājuma veikšanas finansējuma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šo noteikumu 3. punktā minētā mērķa grupa nenodrošina pilnu projekta ietvaros izveidotās infrastruktūras noslodzi, izveidotajā sabiedrībā balstītu sociālo pakalpojumu infrastruktūrā, tai skaitā šo noteikumu 33.10. apakšpunktā minētajā projekta rezultātu ilgtspējas nodrošināšanas periodā, sabiedrībā balstītus sociālos pakalpojumus var sniegt arī pilngadīgām personām ar garīga rakstura traucējumiem, kurām noteikta III invaliditātes grupa vai nav noteikta invaliditāte, bet ir smagi vai ļoti smagi izteikti psihiskie un uzvedības traucējumi.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saņēmējam ir aizliegts pasākuma ietvaros izveidoto sabiedrībā balstīto sociālo pakalpojumu infrastruktūru pasākuma īstenošanas un šo noteikumu 33.10. apakšpunktā minētajā projekta rezultātu ilgtspējas nodrošināšanas periodā nodot valdījumā vai lietojumā citam saimnieciskās darbības veicējam, izņemot gadījumu, ja infrastruktūru nodod bezatlīdzības lietošanā sociālo pakalpojumu sniedzējam, ar kuru finansējuma saņēmējs ir noslēdzis deleģēšanas līgumu par sabiedrībā balstītu sociālo pakalpojumu sniegšanu šo noteikumu 3. punktā minētajām mērķa grupas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pasākuma ietvaros izveidojamā sabiedrībā balstītu sociālo pakalpojumu infrastruktūra projekta īstenošanas laikā vai šo noteikumu 33.9. apakšpunktā minētajā projekta pārskata periodā (projekta dzīves cikla laikā) kļūst par infrastruktūru, kas saistīta ar saimniecisko darbību, kurai sniegtais atbalsts būtu kvalificējams kā komercdarbības atbalsts, finansējuma saņēmējs atmaksā sadarbības iestādei nelikumīgi saņemto atbalstu saskaņā ar Komercdarbības atbalsta kontroles likuma IV vai V nodaļu.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projekta īstenošana nenotiek atbilstoši projektā noteiktajiem termiņiem vai ir iestājušies citi apstākļi, kas negatīvi ietekmē vai var ietekmēt šo noteikumu 2. punktā minētā mērķa sasniegšanu un šo noteikumu 4. punktā minētā uzraudzības rādītāja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2023.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21-TA-456</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21-TA-456</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noteikumu_projekts_21-TA-456.docx</dc:title>
</cp:coreProperties>
</file>

<file path=docProps/custom.xml><?xml version="1.0" encoding="utf-8"?>
<Properties xmlns="http://schemas.openxmlformats.org/officeDocument/2006/custom-properties" xmlns:vt="http://schemas.openxmlformats.org/officeDocument/2006/docPropsVTypes"/>
</file>