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2.1.1.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likums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2.1.1. specifiskā atbalsta mērķa “Veicināt ilgtspējīgu ūdenssaimniecību” 2.2.1.1. pasākuma “Notekūdeņu un to dūņu apsaimniekošanas sistēmas attīstība piesārņojuma samazināšanai” (turpmāk – pasākums) pirmo projektu iesniegumu atlases kārtu (turpmāk –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kārtai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uzlabot ūdenssaimniecības pakalpojumu efektivitāti, nodrošinot atbilstošas infrastruktūras jaudas, uzlabojot darbības efektivitāti, kā arī samazinot piesārņojumu.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Latvijas Republikas aglomerācijas ar cilvēkekvivalentu 10 000 – 100 000 un sabiedrisko ūdenssaimniecības pakalpojumu sniedzēji.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Atlases kārtas mērķteritorija ir Latvijas Republikas aglomerācijas ar cilvēkekvivalentu 10 000 – 100 000.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kārtas ietvaros sasniedzamie uzraudzības rādītāji un to vērtības, kas sasniedzamas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atbalstītie uzņēmumi (tai skaitā: mikrouzņēmumi, mazi, vidēji un lieli uzņēmumi). Iznākuma rādītāja vērtība tiek sasniegta, ja atlases kārtas projektu ietvaros veikti ieguldījumi, nodrošinot atbalstu vismaz 15 uzņēmumiem;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iedzīvotāji, kuriem uzlabota notekūdeņu attīrīšanas kvalitāte un efektivitāte. Rezultāta rādītāja vērtība tiek sasniegta, ja atlases kārtas projektu ietvaros veikti ieguldījumi, lai nodrošinātu, ka iedzīvotāju skaits, kuriem uzlabota notekūdeņu attīrīšanas efektivitāte, ir vismaz 713 510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5.2. apakšpunktā minēto rezultāta rādītāja vērtību uzskata par sasniegtu pēc noslēguma maksājuma veikšanas, aprēķinos izmantojot jaunākos pieejamos projekta iesniedzēja datus par centralizētajai notekūdeņu apsaimniekošanas sistēmai pieslēgto iedzīvotāju skaitu un demogrāfisko rādītāju izmaiņu ietekmi uz vērtības izmaiņām. Projekta iesniedzēja iesniegtā projekta ietvaros rezultāta rādītāja vērtība aglomerācijā nedrīkst pārsniegt konkrētajā aglomerācijā centralizētajai notekūdeņu apsaimniekošanas sistēmai pieslēgto iedzīvotāju skaitu.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Atlases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Atlases kārtas ietvaros atbildīgās iestādes funkcijas pilda Vides aizsardzības un reģionālās attīstības ministrija (turpmāk – atbildīgā iestāde).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Atlases kārtai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Atlases kārtas ietvaros plānotais un pieejamais kopējais finansējums ir ne mazāks kā 79 322 945 </w:t>
      </w:r>
      <w:r w:rsidR="00000000" w:rsidRPr="00000000" w:rsidDel="00000000">
        <w:rPr>
          <w:i w:val="1"/>
          <w:rtl w:val="0"/>
        </w:rPr>
        <w:t xml:space="preserve">euro</w:t>
      </w:r>
      <w:r w:rsidR="00000000" w:rsidRPr="00000000" w:rsidDel="00000000">
        <w:rPr>
          <w:rtl w:val="0"/>
        </w:rPr>
        <w:t xml:space="preserve">, tai skaitā Eiropas Reģionālā attīstības fonda finansējums – 51 559 916 </w:t>
      </w:r>
      <w:r w:rsidR="00000000" w:rsidRPr="00000000" w:rsidDel="00000000">
        <w:rPr>
          <w:i w:val="1"/>
          <w:rtl w:val="0"/>
        </w:rPr>
        <w:t xml:space="preserve">euro</w:t>
      </w:r>
      <w:r w:rsidR="00000000" w:rsidRPr="00000000" w:rsidDel="00000000">
        <w:rPr>
          <w:rtl w:val="0"/>
        </w:rPr>
        <w:t xml:space="preserve"> un privātais līdzfinansējums – ne mazāks kā 27 763 029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atlases kārtas ietvaros pieejamais Eiropas Reģionālās attīstības fonda finansējums netiek izmantots, atlikušo Eiropas Reģionālās attīstības fonda finansējumu, sadarbības iestādei vienojoties ar atbildīgo iestādi par atlases nosacījumiem, novirza nākamo pasākuma atlases kārtu organizēšanai.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Atlases kārtas ietvaros Eiropas Reģionālā attīstības fonda finansējuma atbalsta intensitāte projekta iesniegumā norādītajai attiecināmajai izmaksu pozīcijai no attiecīgās izmaksu pozīcijas kopējām attiecināmajām izmaksām nepārsniedz 65 procentus.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atbalsts tiek sniegts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iesnieguma minimālais attiecināmo izmaksu apmērs nav mazāks par 200 000 </w:t>
      </w:r>
      <w:r w:rsidR="00000000" w:rsidRPr="00000000" w:rsidDel="00000000">
        <w:rPr>
          <w:i w:val="1"/>
          <w:rtl w:val="0"/>
        </w:rPr>
        <w:t xml:space="preserve">euro</w:t>
      </w:r>
      <w:r w:rsidR="00000000" w:rsidRPr="00000000" w:rsidDel="00000000">
        <w:rPr>
          <w:rtl w:val="0"/>
        </w:rPr>
        <w:t xml:space="preserve"> (ieskaitot), un projekta iesnieguma maksimālais Eiropas Reģionālā attīstības fonda finansējums vienas aglomerācijas ietvaros īstenotajam projektam ir 3 500 000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Atlases kārtas ietvaros vienas aglomerācijas ietvaros var iesniegt ne vairāk kā vienu projekta iesniegumu.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Atlases kārtas ietvaros projekta iesniedzējs, kas pēc projekta iesnieguma apstiprināšanas kļūst par finansējuma saņēmēju, ir sabiedrisko ūdenssaimniecības pakalpojumu sniedzējs – kapitālsabiedrība, kurai ar pašvaldību ir noslēgts pakalpojuma līgums par sabiedrisko ūdenssaimniecības pakalpojumu sniegšanu (turpmāk - pakalpojuma līgums).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Pakalpojuma līgumā norāda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ūdenssaimniecības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ūdenssaimniecības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ūdenssaimniecības pakalpojumu sniedzējam piešķirto ekskluzīvo vai īpašo tiesību būtību, tajā skaitā norādot atbilstošo pašvaldības administratīvo teritoriju vai pašvaldības administratīvās teritorijas daļu un konkrētos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pakalpojumu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Komercdarbības atbalstu sabiedrisko ūdenssaimniecības pakalpojumu sniedzējiem piešķir kā kompensāciju par sabiedriskajiem pakalpojumiem dažiem uzņēmumiem, kuriem uzticēts sniegt pakalpojumus ar vispārēju tautsaimniecisku nozīmi.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iesniedzējam kā grūtībās nonākušam uzņēmumam komercdarbības atbalsts netiek piešķirts, ja tas atbilst vismaz vienai no Komisijas 2014. gada 17. jūnija Regulas Nr. 651/2014, </w:t>
      </w:r>
      <w:r w:rsidR="00000000" w:rsidRPr="00000000" w:rsidDel="00000000">
        <w:rPr>
          <w:i w:val="1"/>
          <w:rtl w:val="0"/>
        </w:rPr>
        <w:t xml:space="preserve">ar ko noteiktas atbalsta kategorijas atzīst par saderīgām ar iekšējo tirgu, piemērojot Līguma 107. un 108. pantu</w:t>
      </w:r>
      <w:r w:rsidR="00000000" w:rsidRPr="00000000" w:rsidDel="00000000">
        <w:rPr>
          <w:rtl w:val="0"/>
        </w:rPr>
        <w:t xml:space="preserve"> (Eiropas Savienības Oficiālais Vēstnesis, 2014. gada 26. jūnijs, Nr. L 187) 2. panta 18. punktā paredzētajām pazīmēm.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Komercdarbības atbalsta saņēmējs un vispārējas tautsaimnieciskas nozīmes pakalpojuma pilnvarojuma uzlicējs nodrošina, ka pilnvarojuma periodā un vismaz 10 gadus pēc pilnvarojuma perioda beigām tiek saglabāta un nodrošināta pieejamība projekta izmaksu pamatojošiem dokumentiem, visai ar projektu saistītajai dokumentācijai un visai nepieciešamajai informācijai, lai noteiktu, vai piešķirtais atbalsts ir atbilstošs komercdarbības atbalsta piešķiršanas nosacījumiem vispārējas tautsaimniecības nozīmes pakalpojumu 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iesniedz sadarbības iestādē vispārējas tautsaimnieciskas nozīmes pakalpojuma pilnvarojuma uzlicēja apliecinājumu par šo noteikumu 16.6.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iesniedzējam ir īpašuma tiesības uz nekustamo īpašumu, tai skaitā zemi un infrastruktūru, kurā tiks veiktas projektā paredzētās darbības, uz termiņu, kas nav mazāks par 30 gadiem pēc noslēguma maksājuma veikšanas (pieļaujams, ka īpašuma tiesības nostiprina zemesgrāmatā līdz pirmā maksājuma pieprasījuma iesniegšanai sadarbības iestādē), izņemot, ja projektā paredzēta šo noteikumu 27.2. apakšpunktā minētā darbība, kas saskaņojama ar skarto zemesgabalu īpašniekiem un skarto zemesgabalu zemesgrāmatās ierakstāms apgrūtinājums par labu projekta iesniedzējam līdz projekta noslēguma maksājuma pieprasījumam.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 tai skaitā apliecina projekta iesniedzēja interešu konflikta neesamību.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atbilstoši sadarbības iestādes izstrādātajiem metodiskajiem norādījumiem veic projekta izmaksu un ieguvumu analīzi (finanšu analīzi un ekonomisko analīzi), ievērojot, ka projekta: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ekonomiskā ienesīguma norma ir lielāka par sociālā diskonta likmi;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ekonomiskā neto pašreizējā vērtība ir lielāka par nulli;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 cikls ir 30 gadi.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izpilda nepieciešamās prasības horizontālo principu ”Vienlīdzība, iekļaušana, nediskriminācija un pamattiesību ievērošana”, “Nenodarīt būtisku kaitējumu”, “Energoefektivitāte pirmajā vietā”, “Klimatdrošināšana” un Eiropas Savienības un Latvijas Republikas normatīvo tiesību aktu vides aizsardzības jomā ievērošanai,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apliecinājumu, ka būvdarbu veicējiem vai pakalpojumu sniedzējiem projekta iesniedzējs noteiks pienākumu,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elektrisko un elektronisko iekārtu atkritumi un citi atkritumi tiks apsaimniekoti atbilstoši Atkritumu apsaimniekošanas likuma un normatīvo aktu atkritumu apsaimniekošanas jomā prasībām: tiks nodrošināta to savākšana, atkalizmantošana,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būvniecības procesa laikā tiks nodrošināti labākie pieejamie tehniskie risinājumi trokšņu, putekļu un piesārņojuma emisiju samazināšanai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vismaz 70 procenti (pēc masas) no nebīstamiem būvgružiem un ēku nojaukšanas atkritumiem, kas būvlaukumā radušies būvniecības laikā (izņemot dabiskos materiālus), tiks sagatavoti atkalizmantošanai, pārstrādei un citu materiālu reģenerācijai (tostarp aizbēršanas darbībām, kurās atkritumus izmanto citu materiālu aizstāšanai)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būvniecības procesa laikā tiks ievērotas prasības par koku ciršanas aizliegumu putnu ligzdošanas periodā un nodrošināta esošo koku veselības stāvokļa aizsardzība, tai skaitā nekaitējot koku saknēm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tiek nodrošināta atbilstība klimata pārmaiņu mazināšanas un pielāgošanās klimata pārmaiņām riskiem;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tiek paredzēts enerģijas ietaupījums vai pasākumi, kas kopumā vai daļēji ir aizstājami ar izmaksefektīviem, tehniski, ekonomiski un videi nekaitīgiem alternatīviem pasākumiem, un vienlīdz efektīvi nodrošina attiecīgo mērķu sasniegšanu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projektā ir veikts siltumnīcefekta gāzu ietaupījuma aprēķins,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projektā ir paredzētas darbības, kas veicina horizontālā principa ”Vienlīdzība, iekļaušana, nediskriminācija un pamattiesību ievērošana”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Atbalstāmās darbības plāno saskaņā ar Notekūdeņu apsaimniekošanas investīciju plānu 2021. – 2027. gadam vai aglomerācijai atbilstošo Upju baseinu apgabalu apsaimniekošanas un Plūdu riska pārvaldības plānu 2021. – 2027. gadam, ietverot investīcijas notekūdeņu attīrīšanas kvalitātes uzlabošanai un (vai) notekūdeņu dūņu apsaimniekošanai.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iesniegumā  iekļauj šādas atbalstāmās darbības, kas ietver investīcijas infrastruktūras izveidei, pārbūvei vai atjaunošanai, kā arī tās funkcionalitātes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notekūdeņu attīrīšanas iekārtas jaudas palielināšana;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attīrīto notekūdeņu izvada atjaunošana vai pārbūve;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attīrīšanas iekārtu attīrīšanas efektivitātes uzlabošana;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dūņu atūdeņošanas un apstrādes iekārtu izveide, pārbūve vai atjaunošana, pamatojot siltumnīcefekta gāzu emisiju samazinājumu;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horizontālā principa “Nenodarīt būtisku kaitējumu”, “Energoefektivitāte pirmajā vietā”, “Klimatdrošināšana” un “Vienlīdzība, iekļaušana, nediskriminācija un pamattiesību ievērošana”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netiek atbalstīta nekustamā īpašuma iegāde, atkritumu apglabāšanas, notekūdeņu dūņu pārstrādes, atkritumu pārstrādes un sadedzināšanas infrastruktūras attīstīšana, piesārņoto vietu remediācija un sanācijas darbu veikšana.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attiecināmās izmaksas atlases kārtas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pamatojošās dokumentācijas sagatavošanas izmaksas, nepārsniedzot vienu procentu no projekta kopējām attiecināmajām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izmaksu un ieguvumu analīzes sagatavošanas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siltumnīcefekta gāzu emisiju ietaupījuma aprēķina izmaksas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atbalstāmo darbību īstenošanai nepieciešamo tehnisko specifikāciju, tehnisko projektu vai būvprojektu sagatavošanas (tai skaitā ar būvniecības ieceri un būvprojekta minimālā sastāvā saistīto sagatavošanas darbu) izmaksas, būvprojekta ekspertīzes, autoruzraudzības un būvuzraudzības (tai skaitā inženiertehniskās uzraudzības) izmaksas, ja ekspertīzes vai uzraudzības veikšanu nosaka būvniecības jomu regulējošie normatīvie akti, nepārsniedzot septiņus procentus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tehnoloģisko iekārtu demontāžas izmaksas, ēku un būvju nojaukšanas izmaksas, ja tās tiešā veidā saistītas ar šo noteikumu 27. punktā minēto iekārtu uzstādīšanu, nepārsniedzot 10 procentus no šo noteikumu 29.4. apakšpunktā minēto iekārtu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iekārtu, mehānismu un inženiertehnisko risinājumu, tiem nepieciešamo ražošanas telpu vai to kombinācijas, kas nodrošina lielāku notekūdeņu attīrīšanas jaudu, uzlabo notekūdeņu attīrīšanas efektivitāti, samazina vides piesārņojumu vai tā risku vai samazina siltumnīcefekta gāzu emisijas notekūdeņu dūņu apstrādes procesā, izmaksas, tai skaitā saistīto būvdarbu un pakalpojumu līgumu izmaksas, ievērojot, ka iepirkumu procedūras tiek veiktas saskaņā ar normatīvo aktu prasībām publisko iepirkumu jomā, īstenojot atklātu, pārredzamu, nediskriminējošu un konkurenci nodrošinošu iepirkuma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 kas veiktas saskaņā ar normatīvajiem aktiem par kārtību, kādā Eiropas Savienības struktūrfondu un Kohēzijas fonda ieviešanā 2021. – 2027. gada plānošanas periodā nodrošināma komunikācijas un vizuālās identitātes prasību ievērošana. Minētās izmaksas nepārsniedz vienu procentu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neparedzētie izdevumi, nepārsniedzot piecus procentus no projekta kopējām attiecināmajām izmaksām un kuru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rezerves izmaksas ne vairāk kā desmit procentu apmērā no attiecināmo būvniecības izmaksu kopsummas, ja projektā paredzētas būvniecības darbības un attiecināmajās izmaksās nav iekļauti šo noteikumu 29.7. apakšpunktā minētie neparedzētie izdevumi, un kuru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pievienotās vērtības nodokļa izmaksas saskaņā ar Eiropas Parlamenta un Padomes 2021. gada 24. jūnija Regulas (ES) Nr.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 2021/1060) 64. panta 1. punkta "c" apakšpunktā ietvertajiem nosacījumiem, ja tās nav atgūstamas nodokļu politiku reglamentējošos normatīvajos aktos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izmaksas ir attiecināmas, ja 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tieši saistītas ar projekta ietvaros veiktajām darbībām, ir samērīgas, pamatotas un atbilst normatīvo aktu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veiktas par aktīviem, kas ir jauni un iegādāti no trešajām personām par tirgus vērtību un tos izmanto tikai finansējuma saņēmēja vajadzībām;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radušās pēc šo noteikumu 32. punktā noteiktā termiņa;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radušās uz darba līguma pamata.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plāno tikai attiecināmās izmaksas. Izmaksas, kas saskaņā ar šiem noteikumiem nav iekļaujamas projektā kā attiecināmās izmaksas, ir finansējamas ārpus projekta par finansējuma saņēmēja līdzekļiem. Ārpus projekta nedrīkst paredzēt izmaksas par darbībām, kas tiešā veidā nodrošina projekta mērķa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Izmaksas ir attiecināmas no projekta iesnieguma iesniegšanas sadarbības iestādē dienas, izņemot šo noteikumu 29.1. apakšpunktā minētās izmaksas un 29.2. apakšpunktā minētās tehnisko specifikāciju, tehnisko projektu vai būvprojektu sagatavošanas (tai skaitā ar būvniecības ieceri un būvprojekta minimālā sastāvā saistīto sagatavošanas darbu) izmaksas, kas ir attiecināmas, ja tās veiktas pēc 2021. gada 1. janvāra.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Atlases kārtas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projektu īsteno saskaņā ar noslēgtajā civiltiesiskajā līgumā par projekta īstenošanu noteikto termiņu,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Projekta īstenošanas vieta ir Latvijas Republikas teritorija, notekūdeņu attīrīšanas iekārtu un ar tām funkcionāli saistītā teritorija.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šo noteikumu 5. punktā minēto rādītāju vērtībām un sniedz šo informāciju sadarbības iestādei;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horizontālos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 (tai skaitā veic ietekmes uz vidi novērtējumu vai sākotnējo izvērtējumu,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interešu konflikta neesamību saskaņā ar Eiropas Parlamenta un Padomes 2018. gada 18. jūlija Regulas (ES, Euratom) Nr. 2018/1046 </w:t>
      </w:r>
      <w:r w:rsidR="00000000" w:rsidRPr="00000000" w:rsidDel="00000000">
        <w:rPr>
          <w:i w:val="1"/>
          <w:rtl w:val="0"/>
        </w:rPr>
        <w:t xml:space="preserve">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panta un publiskos iepirkumus regulējošo normatīvo aktu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saviem līdzekļiem sedz projekta īstenošanas gaitā radušās sadārdzinājuma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vai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pantu un 50. pantu un normatīvajiem aktiem, kas nosaka kārtību, kādā Eiropas Savienības fondu vadībā iesaistītās institūcijas nodrošina šo fondu ieviešanu 2021. – 2027. gada plānošanas periodā, kā arī Eiropas Savienības fondu 2021. – 2027. gada plānošanas perioda un Atveseļošanas fonda komunikācijas un dizaina vadlīnijām;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 retāk kā reizi sešos mēnešos savā tīmekļvietnē ievieto aktuālo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ir saņemtas visas vides aizsardzības vai būvniecības jomu reglamentējošos normatīvajos aktos noteiktās atļaujas, kas nepieciešamas, lai  īstenotu projektā plānotos tehnoloģiskos risinājumus un veiktu  būvniecību vai iekārtu uzstādīšanu (attiecībā uz atbilstošu piesārņojošās darbības atļauju nodrošina, ka tā tiek saņemta vismaz līdz noslēguma maksājumam);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vismaz piecus gadus pēc noslēguma maksājuma veikšanas projektā veiktās investīcijas un radītos pamatlīdzekļus izmanto projektā paredzētajam mērķim;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vismaz piecus gadus pēc noslēguma maksājuma veikšanas nodrošina veikto investīciju ilgtspēju un uzturēšanu darba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ievieš atsevišķu grāmatvedības uzskaiti par finansējuma izlietojumu projektā, nodalot tā ietvaros veiktās darbības no citas saimnieciskās darbības.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 spējai to izlietot sešu mēnešu laikā saimnieciskā gada ietvaros. Finansējuma saņēmējam avansu var piešķirt līdz 50 procentiem no projektam piešķirtā Eiropas Reģionālā attīstības fonda finansējuma, ievērojot, ka avansu var izmaksāt vairākos maksājumos un avansa un starpposma maksājumu kopsumma nepārsniedz 90 procentus no projektam piešķirtā Eiropas Reģionālā attīstības fonda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Komercdarbības atbalstu, kas piešķirts šo noteikumu ietvaros drīkst kumulēt ar citu komercdarbības atbalstu, kas sniegts kā kompensācija par sabiedriskajiem pakalpojumiem dažiem uzņēmumiem, kuriem uzticēts sniegt pakalpojumus ar vispārēju tautsaimniecisku nozīmi,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projekta ietvaros, veicot iepirkumus, nodrošina vides prasību integrāciju preču, pakalpojumu un būvdarbu iepirkumos (zaļais publiskais iepirkums), kā arī izvērtē sociāli atbildīga un inovatīva publiskā iepirkuma nosacījumu piemērošanu.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23-TA-3286</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23-TA-3286</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noteikumu_projekts_23-TA-3286.docx</dc:title>
</cp:coreProperties>
</file>

<file path=docProps/custom.xml><?xml version="1.0" encoding="utf-8"?>
<Properties xmlns="http://schemas.openxmlformats.org/officeDocument/2006/custom-properties" xmlns:vt="http://schemas.openxmlformats.org/officeDocument/2006/docPropsVTypes"/>
</file>