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23. septembrī (prot. Nr. 39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21. decembra noteikumos Nr. 877 "Grāmatvedības kārtošanas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Grāmatvedības likuma</w:t>
      </w:r>
      <w:r w:rsidR="00000000" w:rsidRPr="00000000" w:rsidDel="00000000">
        <w:rPr>
          <w:rStyle w:val="paragraph"/>
          <w:i w:val="1"/>
          <w:rtl w:val="0"/>
        </w:rPr>
        <w:t xml:space="preserve"> 5. panta trešo daļu,</w:t>
      </w:r>
      <w:r>
        <w:br/>
      </w:r>
      <w:r w:rsidR="00000000" w:rsidRPr="00000000" w:rsidDel="00000000">
        <w:rPr>
          <w:rStyle w:val="paragraph"/>
          <w:i w:val="1"/>
          <w:rtl w:val="0"/>
        </w:rPr>
        <w:t xml:space="preserve">6. panta septītās daļas 1. un 2. punktu, 8. panta ceturtās daļas</w:t>
      </w:r>
      <w:r>
        <w:br/>
      </w:r>
      <w:r w:rsidR="00000000" w:rsidRPr="00000000" w:rsidDel="00000000">
        <w:rPr>
          <w:rStyle w:val="paragraph"/>
          <w:i w:val="1"/>
          <w:rtl w:val="0"/>
        </w:rPr>
        <w:t xml:space="preserve">1. un 2. punktu, 11. panta trīspadsmito daļu,</w:t>
      </w:r>
      <w:r>
        <w:br/>
      </w:r>
      <w:r w:rsidR="00000000" w:rsidRPr="00000000" w:rsidDel="00000000">
        <w:rPr>
          <w:rStyle w:val="paragraph"/>
          <w:i w:val="1"/>
          <w:rtl w:val="0"/>
        </w:rPr>
        <w:t xml:space="preserve">12. panta ceturto daļu un 15.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21. decembra noteikumos Nr. 877 "Grāmatvedības kārtošanas noteikumi" (Latvijas Vēstnesis, 2021, 248. nr.; 2023, 198.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Attaisnojuma dokumentu, ar kuru labo vai atsauc (anulē) iepriekš izsniegto attaisnojuma dokumentu samaksāšanai (rēķinu) (turpmāk – koriģējošais rēķins), kurš noformēts kā strukturēts elektronisks rēķins, ja daļēji vai pilnībā atcelts darījums vai ja iepriekš izrakstīts kļūdains rēķins, sagatavo kā strukturētu elektronisko rēķinu. Sagatavojot koriģējošo rēķinu, tajā norāda atsauci uz rēķina numuru, kurš tiek labots vai atsaukts."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31.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Ja attaisnojuma dokuments noformēts kā strukturēts elektronisks rēķins, tad šādu strukturētu elektronisku rēķinu datora vai citas elektroniskas ierīces ekrānā attēlo cilvēklasāmā formātā un nodrošina iespēju veidot atvasinājumu papīra formā (izdrukas)."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Par attaisnojuma dokumentu var uzskatīt arī rēķinu, ko izsniedzis ārvalsts saimnieciskā darījuma dalībnieks, kurā nav visi Grāmatvedības likuma 11. panta piektajā daļā noteiktie attaisnojuma dokumentam nepieciešamie rekvizīti un informācija, ja tajā norādīta vismaz šāda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1. ziņas, kas ļauj nepārprotami identificēt saimnieciskā darījuma dalībniekus – uzņēmuma nosaukums vai vārds un uzvārds (fiziskai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 darījuma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3. saimnieciskā darījuma (preces vai pakalpojuma)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4. saimnieciskā darījuma novērtējums naudas izteiksmē un valūta;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5. rēķina numurs vai cits unikāls identifikators."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Avansa rēķins (priekšapmaksas rēķins) ir informatīvs dokuments samaksāšanai (maksājuma pieprasījums), kuru uzņēmums izsniedz par precēm, kas vēl nav piegādātas, vai pakalpojumiem, kas nav sniegti. Ja avansa rēķina (priekšapmaksas rēķina) apmaksa (viens vai vairāki maksājumi) ir veikta pilnā piegādājamo preču vai sniedzamo pakalpojumu vērtības apmērā, tad papildu attaisnojuma dokumentu samaksāšanai (gala rēķinu) var nesagatavot. Šādā gadījumā preču vai pakalpojumu saņemšanu apliecina preču piegādes dokuments vai kāds cits darījumu apliecinošs dokuments, kurā papildus ietverta informācija, kas nepārprotami ļauj identificēt samaksas veikšanu pilnā apjomā saskaņā ar avansa rēķinu (priekšapmaksas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Darījumos starp uzņēmumiem šo noteikumu 34.</w:t>
      </w:r>
      <w:r w:rsidR="00000000" w:rsidRPr="00000000" w:rsidDel="00000000">
        <w:rPr>
          <w:vertAlign w:val="superscript"/>
          <w:rtl w:val="0"/>
        </w:rPr>
        <w:t xml:space="preserve">1</w:t>
      </w:r>
      <w:r w:rsidR="00000000" w:rsidRPr="00000000" w:rsidDel="00000000">
        <w:rPr>
          <w:rtl w:val="0"/>
        </w:rPr>
        <w:t xml:space="preserve"> punktu piemēro, ja uzņēmums izsniegto avansa rēķinu (priekšapmaksas rēķinu) citam uzņēmumam sagatavo strukturēta elektroniskā rēķina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53.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Ja preču piegādes dokuments vai pārvadājuma dokuments sagatavots elektroniski saskaņā ar šo noteikumu 42. punktu, preču piegādes dokumenta vai pārvadājuma dokumenta papīra kopiju pie reģistra var nepievienot, ja tiek nodrošināta šo dokumentu attēlošana datora vai citas elektroniskas ierīces ekrānā cilvēklasāmā formātā un, ja nepieciešams, ir iespēja veidot un izsniegt tā atvasinājumu papīra formā (piemēram, izdruku)."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Nemateriālo ieguldījumu un citu bezķermenisko lietu, kā arī prasījumu un saistību (arī ārpusbilances posteņu) summas inventarizē, to apjomu pārbaudot saskaņā ar attiecīgajiem dokumentiem. Prasījumu un saistību summas salīdzina ar attiecīgajiem saimniecisko darījumu dalībniekiem (debitoriem un kreditoriem),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 var izmantot pašapkalpošanās portālu risinājumus vai citus savstarpēji saskaņotus elektroniskos datu un informācijas apmaiņas kanālus;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 ja darījuma partneris līdz inventarizācijas termiņa beigām nav informējis uzņēmumu par atšķirībām starp tā grāmatvedības uzskaites datiem un uzņēmuma datiem par iepriekšējo saimniecisko gadu, datus uzskata par salīdzinātiem."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68.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Bezskaidras naudas atlikuma inventarizāciju uzņēmums veic, pamatojoties uz maksājumu pakalpojumu sniedzēja (Maksājumu pakalpojumu un elektroniskās naudas likuma izpratnē) nodrošināto informāciju par klientam sniegtu finanšu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Bibliotēkas krājuma (bibliotēkā esošo dokumentu kopuma) inventarizāciju Latvijas Nacionālajā bibliotēkā un citās bibliotēkās, uz kurām attiecas Bibliotēku likums, veic normatīvajos aktos bibliotēku krājumu jomā noteiktajā kārtībā un termiņos. Muzeju krājuma inventarizāciju veic normatīvajos aktos muzeju krājumu jomā noteiktajos krājuma esības pārbaužu termiņos."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Budžeta iestādes pārskata gada slēguma inventarizācijā veic prasījumu, saistību un bezatlīdzības darījumu salīdzināšanu ar vispārējās valdības sektora struktūru (izņemot šo struktūru kontrolētus un finansētus komersantus, kuru sarakstu nodrošina Centrālā statistikas pārvalde, un speciālās ekonomiskās zonas, ostu un brīvostu pārvaldes) darījuma partneriem, ievērojot kārtību, kāda noteikta uz Likuma par budžetu un finanšu vadību pamata pieņemtajos normatīvajos aktos par gada pārskata sagatavošanas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72.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Uzņēmumi pārskata gada slēguma inventarizācijā salīdzina Valsts kasē atvērto kontu atlikumus, ievērojot kārtību, kāda noteikta uz Likuma par budžetu un finanšu vadību pamata pieņemtajos normatīvajos aktos par kārtību, kādā Valsts kase nodrošina maksājumu pakalpojumu sniegšanu."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25-TA-682</w:t>
    </w:r>
    <w:r>
      <w:br/>
    </w:r>
    <w:r w:rsidR="00000000" w:rsidRPr="00000000" w:rsidDel="00000000">
      <w:rPr>
        <w:rtl w:val="0"/>
      </w:rPr>
      <w:t xml:space="preserve">Izdrukāts 29.07.2026. 23.57 - 1.0.VK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25-TA-682</w:t>
    </w:r>
    <w:r>
      <w:br/>
    </w:r>
    <w:r w:rsidR="00000000" w:rsidRPr="00000000" w:rsidDel="00000000">
      <w:rPr>
        <w:rtl w:val="0"/>
      </w:rPr>
      <w:t xml:space="preserve">Izdrukāts 29.07.2026. 23.57 - 1.0.VK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noteikumu_(grozījumu)_projekts_25-TA-682.docx</dc:title>
</cp:coreProperties>
</file>

<file path=docProps/custom.xml><?xml version="1.0" encoding="utf-8"?>
<Properties xmlns="http://schemas.openxmlformats.org/officeDocument/2006/custom-properties" xmlns:vt="http://schemas.openxmlformats.org/officeDocument/2006/docPropsVTypes"/>
</file>