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ICES</w:t>
      </w:r>
      <w:r w:rsidR="00000000" w:rsidRPr="00000000" w:rsidDel="00000000">
        <w:rPr>
          <w:rStyle w:val="paragraph_header"/>
          <w:b w:val="1"/>
          <w:rtl w:val="0"/>
        </w:rPr>
        <w:t xml:space="preserve"> zvejas kvadrāti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(ģeogrāfiskās koordinātas un kvadrātu numuri)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4676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467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 </w:t>
      </w:r>
      <w:r w:rsidR="00000000" w:rsidRPr="00000000" w:rsidDel="00000000">
        <w:rPr>
          <w:i w:val="1"/>
          <w:rtl w:val="0"/>
        </w:rPr>
        <w:t xml:space="preserve">ICES</w:t>
      </w:r>
      <w:r w:rsidR="00000000" w:rsidRPr="00000000" w:rsidDel="00000000">
        <w:rPr>
          <w:rtl w:val="0"/>
        </w:rPr>
        <w:t xml:space="preserve"> 28.1. apakšrajona robežas ir noteiktas Padomes 2009. gada 11. marta Regulas (EK) Nr. 218/2009 par to dalībvalstu nominālās nozvejas statistikas iesniegšanu, kuras zvejo Atlantijas okeāna ziemeļaustrumu daļā, III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