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Rūpniecības produktu kodu saraksta noteikumi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21. panta 1. un 2.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rūpniecības produktu – preču un rūpniecisko pakalpojumu – kodu sarakstu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tā uzturēšanas un publicēšanas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Statistikas nodrošināšanā izmanto apvienoto rūpniecības produktu kodu sarakstu un ar Komisijas 2022. gada 12. decembra Īstenošanas regulu (ES) 2022/2552, ar ko saskaņā ar Eiropas Parlamenta un Padomes Regulu (ES) 2019/2152 nosaka datu prasību tehniskās specifikācijas detalizētajam tematam "Rūpniecības produkcijas statistika", izveidojot rūpniecisko ražojumu klasifikācijas dalījumu, un ar ko attiecībā uz ražojumu klasifikācijas tvērumu groza Komisijas Īstenošanas regulu (ES) 2020/1197, noteikto rūpniecības produkcijas klasifikāciju (turpmāk – PRODCOM klasifikācija). Centrālā statistikas pārvalde nodrošina rūpniecības produktu kodu saraksta un PRODCOM klasifikācijas tehnisku apvienošanu vienā datnē un publicēšanu savā tīmekļvietnē.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2008. gada 15. janvāra noteikumus Nr. 11 "Noteikumi par rūpniecības produkcijas klasifikāciju (PRODCOM)" (Latvijas Vēstnesis, 2008, 10., 187. nr.; 2010, 53. nr.; 2011, 23. nr.; 2012, 39. nr.; 2013, 163. nr.; 2014, 160. nr.; 2015, 138.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23-TA-927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23-TA-927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