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maijā (prot. Nr. 26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4. februāra noteikumos Nr. 86 "Noteikumi par atbalstu mākslas, izklaides un atpūtas nozaru komersantiem, kuru darbību ietekmējusi Covid-19 izplatība"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4. februāra noteikumos Nr. 86 "Noteikumi par atbalstu mākslas, izklaides un atpūtas nozaru komersantiem, kuru darbību ietekmējusi Covid-19 izplatība" (Latvijas Vēstnesis, 2021, 27., 72. nr.; 2022, 25.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Sabiedrībai "Altum" pieejamais valsts budžeta finansējums programmas īstenošanai ir līdz 6 000 000 </w:t>
      </w:r>
      <w:r w:rsidR="00000000" w:rsidRPr="00000000" w:rsidDel="00000000">
        <w:rPr>
          <w:i w:val="1"/>
          <w:rtl w:val="0"/>
        </w:rPr>
        <w:t xml:space="preserve">euro</w:t>
      </w:r>
      <w:r w:rsidR="00000000" w:rsidRPr="00000000" w:rsidDel="00000000">
        <w:rPr>
          <w:rtl w:val="0"/>
        </w:rPr>
        <w:t xml:space="preserve">. Sabiedrība "Altum" programmas darbības laikā var izmantot atmaksāto finansējumu jaunu projektu apstiprināšanai. Finansējumu izmanto sabiedrības "Altum" izdevumu segšanai, kā arī aizdevumu un grantu izsniegšanai. Sabiedrības "Altum" pārvaldības maksas segšanai izmanto aizdevumu programmas ietvaros atmaksāto finansējumu – klientu maksājumus no aizdevumiem un programmas finansējumu."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22-TA-1478</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22-TA-1478</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noteikumu_(grozījumu)_projekts_22-TA-1478.docx</dc:title>
</cp:coreProperties>
</file>

<file path=docProps/custom.xml><?xml version="1.0" encoding="utf-8"?>
<Properties xmlns="http://schemas.openxmlformats.org/officeDocument/2006/custom-properties" xmlns:vt="http://schemas.openxmlformats.org/officeDocument/2006/docPropsVTypes"/>
</file>